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3000000">
      <w:pPr>
        <w:pStyle w:val="Style_3"/>
        <w:widowControl w:val="1"/>
        <w:ind w:right="0"/>
        <w:rPr>
          <w:b w:val="1"/>
          <w:sz w:val="28"/>
        </w:rPr>
      </w:pP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                        </w:t>
      </w:r>
      <w:r>
        <w:rPr>
          <w:sz w:val="28"/>
        </w:rPr>
        <w:drawing>
          <wp:inline>
            <wp:extent cx="447167" cy="570611"/>
            <wp:docPr id="2" name="Picture 2"/>
            <a:graphic>
              <a:graphicData uri="http://schemas.openxmlformats.org/drawingml/2006/picture">
                <pic:pic>
                  <pic:nvPicPr>
                    <pic:cNvPr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447167" cy="570611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b w:val="1"/>
          <w:sz w:val="28"/>
        </w:rPr>
        <w:t xml:space="preserve">        </w:t>
      </w:r>
    </w:p>
    <w:p w14:paraId="04000000">
      <w:pPr>
        <w:pStyle w:val="Style_3"/>
        <w:widowControl w:val="1"/>
        <w:ind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</w:t>
      </w:r>
      <w:r>
        <w:rPr>
          <w:rFonts w:ascii="Times New Roman" w:hAnsi="Times New Roman"/>
          <w:b w:val="1"/>
          <w:sz w:val="28"/>
        </w:rPr>
        <w:t xml:space="preserve">                КОНТРОЛЬНО-СЧЕТНАЯ ПАЛАТА</w:t>
      </w:r>
    </w:p>
    <w:p w14:paraId="05000000">
      <w:pPr>
        <w:pStyle w:val="Style_3"/>
        <w:widowControl w:val="1"/>
        <w:ind w:firstLine="935"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</w:t>
      </w:r>
      <w:r>
        <w:rPr>
          <w:rFonts w:ascii="Times New Roman" w:hAnsi="Times New Roman"/>
          <w:b w:val="1"/>
          <w:sz w:val="28"/>
        </w:rPr>
        <w:t xml:space="preserve">  МУНИЦИПАЛЬНОГО ОБРАЗОВАНИЯ</w:t>
      </w:r>
    </w:p>
    <w:p w14:paraId="06000000">
      <w:pPr>
        <w:pStyle w:val="Style_3"/>
        <w:widowControl w:val="1"/>
        <w:ind w:righ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</w:t>
      </w:r>
      <w:r>
        <w:rPr>
          <w:rFonts w:ascii="Times New Roman" w:hAnsi="Times New Roman"/>
          <w:b w:val="1"/>
          <w:sz w:val="28"/>
        </w:rPr>
        <w:t xml:space="preserve">                          </w:t>
      </w:r>
      <w:r>
        <w:rPr>
          <w:rFonts w:ascii="Times New Roman" w:hAnsi="Times New Roman"/>
          <w:b w:val="1"/>
          <w:sz w:val="28"/>
        </w:rPr>
        <w:t xml:space="preserve"> КАВКАЗСКИЙ РАЙОН      </w:t>
      </w:r>
    </w:p>
    <w:p w14:paraId="07000000">
      <w:pPr>
        <w:tabs>
          <w:tab w:leader="none" w:pos="708" w:val="left"/>
          <w:tab w:leader="none" w:pos="7065" w:val="left"/>
        </w:tabs>
        <w:ind/>
        <w:jc w:val="both"/>
        <w:rPr>
          <w:sz w:val="28"/>
        </w:rPr>
      </w:pPr>
      <w:r>
        <w:rPr>
          <w:sz w:val="28"/>
        </w:rPr>
        <w:t xml:space="preserve">      </w:t>
      </w:r>
    </w:p>
    <w:p w14:paraId="08000000">
      <w:pPr>
        <w:ind/>
        <w:jc w:val="center"/>
        <w:rPr>
          <w:sz w:val="28"/>
        </w:rPr>
      </w:pPr>
    </w:p>
    <w:p w14:paraId="09000000">
      <w:pPr>
        <w:rPr>
          <w:b w:val="1"/>
          <w:sz w:val="28"/>
        </w:rPr>
      </w:pPr>
      <w:r>
        <w:rPr>
          <w:b w:val="1"/>
          <w:sz w:val="28"/>
        </w:rPr>
        <w:t xml:space="preserve">                                       </w:t>
      </w:r>
      <w:r>
        <w:rPr>
          <w:b w:val="1"/>
          <w:sz w:val="28"/>
        </w:rPr>
        <w:t>Р А С П О Р Я Ж Е Н И Е</w:t>
      </w:r>
    </w:p>
    <w:p w14:paraId="0A000000">
      <w:pPr>
        <w:ind/>
        <w:jc w:val="both"/>
        <w:rPr>
          <w:sz w:val="28"/>
        </w:rPr>
      </w:pPr>
      <w:r>
        <w:rPr>
          <w:sz w:val="28"/>
        </w:rPr>
        <w:t xml:space="preserve">                        </w:t>
      </w:r>
      <w:r>
        <w:rPr>
          <w:sz w:val="28"/>
        </w:rPr>
        <w:t xml:space="preserve">   </w:t>
      </w:r>
      <w:r>
        <w:rPr>
          <w:sz w:val="28"/>
        </w:rPr>
        <w:t xml:space="preserve"> </w:t>
      </w:r>
      <w:r>
        <w:rPr>
          <w:sz w:val="28"/>
        </w:rPr>
        <w:t>от</w:t>
      </w:r>
      <w:r>
        <w:rPr>
          <w:sz w:val="28"/>
        </w:rPr>
        <w:t xml:space="preserve"> «</w:t>
      </w:r>
      <w:r>
        <w:rPr>
          <w:sz w:val="28"/>
          <w:u w:val="single"/>
        </w:rPr>
        <w:t>09</w:t>
      </w:r>
      <w:r>
        <w:rPr>
          <w:sz w:val="28"/>
        </w:rPr>
        <w:t xml:space="preserve">» </w:t>
      </w:r>
      <w:r>
        <w:rPr>
          <w:sz w:val="28"/>
          <w:u w:val="single"/>
        </w:rPr>
        <w:t>февраля</w:t>
      </w:r>
      <w:r>
        <w:rPr>
          <w:sz w:val="28"/>
        </w:rPr>
        <w:t xml:space="preserve"> 20</w:t>
      </w:r>
      <w:r>
        <w:rPr>
          <w:sz w:val="28"/>
          <w:u w:val="single"/>
        </w:rPr>
        <w:t>26</w:t>
      </w:r>
      <w:r>
        <w:rPr>
          <w:sz w:val="28"/>
        </w:rPr>
        <w:t xml:space="preserve"> г. № </w:t>
      </w:r>
      <w:r>
        <w:rPr>
          <w:sz w:val="28"/>
          <w:u w:val="single"/>
        </w:rPr>
        <w:t xml:space="preserve">4-р </w:t>
      </w:r>
      <w:r>
        <w:rPr>
          <w:sz w:val="28"/>
        </w:rPr>
        <w:t xml:space="preserve">                                                                                                   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 xml:space="preserve">                                      город Кропоткин</w:t>
      </w:r>
    </w:p>
    <w:p w14:paraId="0C000000">
      <w:pPr>
        <w:rPr>
          <w:sz w:val="28"/>
        </w:rPr>
      </w:pPr>
    </w:p>
    <w:p w14:paraId="0D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Об утверждении </w:t>
      </w:r>
      <w:r>
        <w:rPr>
          <w:b w:val="1"/>
          <w:sz w:val="28"/>
        </w:rPr>
        <w:t>п</w:t>
      </w:r>
      <w:r>
        <w:rPr>
          <w:b w:val="1"/>
          <w:sz w:val="28"/>
        </w:rPr>
        <w:t>орядка осуществления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контрольно-счетной палаты</w:t>
      </w:r>
    </w:p>
    <w:p w14:paraId="0E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муниципального образования Кавказский район бюджетных полномочий </w:t>
      </w:r>
    </w:p>
    <w:p w14:paraId="0F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администратора доходов, главного администратора доходов </w:t>
      </w:r>
    </w:p>
    <w:p w14:paraId="10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местного бюджета</w:t>
      </w:r>
    </w:p>
    <w:p w14:paraId="11000000">
      <w:pPr>
        <w:ind w:hanging="900" w:left="900"/>
        <w:jc w:val="center"/>
        <w:rPr>
          <w:sz w:val="28"/>
        </w:rPr>
      </w:pPr>
    </w:p>
    <w:p w14:paraId="12000000">
      <w:pPr>
        <w:ind w:firstLine="851"/>
        <w:jc w:val="both"/>
        <w:rPr>
          <w:sz w:val="28"/>
          <w:shd w:fill="FFD821" w:val="clear"/>
        </w:rPr>
      </w:pPr>
      <w:r>
        <w:rPr>
          <w:sz w:val="28"/>
        </w:rPr>
        <w:t xml:space="preserve">В соответствии со статьей 160.1 Бюджетного кодекса Российской </w:t>
      </w:r>
      <w:r>
        <w:rPr>
          <w:sz w:val="28"/>
        </w:rPr>
        <w:t>Федерации и постановлением администрации муниципального об</w:t>
      </w:r>
      <w:r>
        <w:rPr>
          <w:sz w:val="28"/>
        </w:rPr>
        <w:t xml:space="preserve">разования </w:t>
      </w:r>
      <w:r>
        <w:rPr>
          <w:sz w:val="28"/>
        </w:rPr>
        <w:t>Кавказский район от 24</w:t>
      </w:r>
      <w:r>
        <w:rPr>
          <w:sz w:val="28"/>
        </w:rPr>
        <w:t xml:space="preserve"> </w:t>
      </w:r>
      <w:r>
        <w:rPr>
          <w:sz w:val="28"/>
        </w:rPr>
        <w:t>декабря</w:t>
      </w:r>
      <w:r>
        <w:rPr>
          <w:sz w:val="28"/>
        </w:rPr>
        <w:t xml:space="preserve"> </w:t>
      </w:r>
      <w:r>
        <w:rPr>
          <w:sz w:val="28"/>
        </w:rPr>
        <w:t>2021 года № 1926</w:t>
      </w:r>
      <w:r>
        <w:rPr>
          <w:sz w:val="28"/>
        </w:rPr>
        <w:t xml:space="preserve"> «Об утверждении </w:t>
      </w:r>
      <w:r>
        <w:rPr>
          <w:sz w:val="28"/>
        </w:rPr>
        <w:t>П</w:t>
      </w:r>
      <w:r>
        <w:rPr>
          <w:sz w:val="28"/>
        </w:rPr>
        <w:t>орядка осуществления органами местного самоуправления Кавказского района и (или) находящимися в их ведении казенными учреждениями бюджетных полномочий главных администраторов доходов бюджета муниципального образования Кавказский район»:</w:t>
      </w:r>
    </w:p>
    <w:p w14:paraId="13000000">
      <w:pPr>
        <w:ind w:firstLine="851"/>
        <w:jc w:val="both"/>
        <w:rPr>
          <w:sz w:val="28"/>
        </w:rPr>
      </w:pPr>
      <w:r>
        <w:rPr>
          <w:sz w:val="28"/>
        </w:rPr>
        <w:t xml:space="preserve">1. Утвердить </w:t>
      </w:r>
      <w:r>
        <w:rPr>
          <w:sz w:val="28"/>
        </w:rPr>
        <w:t xml:space="preserve">прилагаемый </w:t>
      </w:r>
      <w:r>
        <w:rPr>
          <w:sz w:val="28"/>
        </w:rPr>
        <w:t>п</w:t>
      </w:r>
      <w:r>
        <w:rPr>
          <w:sz w:val="28"/>
        </w:rPr>
        <w:t>орядок осуществления К</w:t>
      </w:r>
      <w:r>
        <w:rPr>
          <w:sz w:val="28"/>
        </w:rPr>
        <w:t xml:space="preserve">онтрольно-счетной палаты </w:t>
      </w:r>
      <w:r>
        <w:rPr>
          <w:sz w:val="28"/>
        </w:rPr>
        <w:t>муниципального образования Кавказский район бюджетны</w:t>
      </w:r>
      <w:r>
        <w:rPr>
          <w:sz w:val="28"/>
        </w:rPr>
        <w:t xml:space="preserve">х полномочий администратора, главного администратора доходов местного бюджета </w:t>
      </w:r>
      <w:r>
        <w:rPr>
          <w:sz w:val="28"/>
        </w:rPr>
        <w:t>по</w:t>
      </w:r>
      <w:r>
        <w:rPr>
          <w:sz w:val="28"/>
        </w:rPr>
        <w:t xml:space="preserve"> </w:t>
      </w:r>
      <w:r>
        <w:rPr>
          <w:sz w:val="28"/>
        </w:rPr>
        <w:t>коду 910</w:t>
      </w:r>
      <w:r>
        <w:rPr>
          <w:sz w:val="28"/>
        </w:rPr>
        <w:t xml:space="preserve"> «</w:t>
      </w:r>
      <w:r>
        <w:rPr>
          <w:sz w:val="28"/>
        </w:rPr>
        <w:t>Контрольно-счетная палата муниципального образования Кавказский район</w:t>
      </w:r>
      <w:r>
        <w:rPr>
          <w:sz w:val="28"/>
        </w:rPr>
        <w:t>»</w:t>
      </w:r>
      <w:r>
        <w:rPr>
          <w:sz w:val="28"/>
        </w:rPr>
        <w:t>.</w:t>
      </w:r>
    </w:p>
    <w:p w14:paraId="14000000">
      <w:pPr>
        <w:ind w:firstLine="851"/>
        <w:jc w:val="both"/>
        <w:rPr>
          <w:sz w:val="28"/>
        </w:rPr>
      </w:pPr>
      <w:r>
        <w:rPr>
          <w:sz w:val="28"/>
        </w:rPr>
        <w:t>2. Признать утратившим силу распоряжение Контрольно-счетной палаты муниципального образования Кавказский район от 30 декабря 2021 г. № 21-р «Об утверждении порядка осуществления контрольно-счетной палаты муниципального образования Кавказский район бюджетных полномочий администратора доходов, главного администратора доходов местного бюджета».</w:t>
      </w:r>
    </w:p>
    <w:p w14:paraId="15000000">
      <w:pPr>
        <w:ind w:firstLine="851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. Контроль за </w:t>
      </w:r>
      <w:r>
        <w:rPr>
          <w:sz w:val="28"/>
        </w:rPr>
        <w:t>вы</w:t>
      </w:r>
      <w:r>
        <w:rPr>
          <w:sz w:val="28"/>
        </w:rPr>
        <w:t xml:space="preserve">полнением настоящего </w:t>
      </w:r>
      <w:r>
        <w:rPr>
          <w:sz w:val="28"/>
        </w:rPr>
        <w:t>распоряжения оставляю за собой</w:t>
      </w:r>
      <w:r>
        <w:rPr>
          <w:sz w:val="28"/>
        </w:rPr>
        <w:t>.</w:t>
      </w:r>
    </w:p>
    <w:p w14:paraId="16000000">
      <w:pPr>
        <w:ind w:firstLine="851"/>
        <w:rPr>
          <w:sz w:val="28"/>
        </w:rPr>
      </w:pPr>
      <w:r>
        <w:rPr>
          <w:sz w:val="28"/>
        </w:rPr>
        <w:t xml:space="preserve">4. </w:t>
      </w:r>
      <w:r>
        <w:rPr>
          <w:sz w:val="28"/>
        </w:rPr>
        <w:t xml:space="preserve"> </w:t>
      </w:r>
      <w:r>
        <w:rPr>
          <w:sz w:val="28"/>
        </w:rPr>
        <w:t xml:space="preserve">Распоряжение </w:t>
      </w:r>
      <w:r>
        <w:rPr>
          <w:sz w:val="28"/>
        </w:rPr>
        <w:t>в</w:t>
      </w:r>
      <w:r>
        <w:rPr>
          <w:sz w:val="28"/>
        </w:rPr>
        <w:t xml:space="preserve">ступает в силу с </w:t>
      </w:r>
      <w:r>
        <w:rPr>
          <w:sz w:val="28"/>
        </w:rPr>
        <w:t>0</w:t>
      </w:r>
      <w:r>
        <w:rPr>
          <w:sz w:val="28"/>
        </w:rPr>
        <w:t>1 января 2026</w:t>
      </w:r>
      <w:r>
        <w:rPr>
          <w:sz w:val="28"/>
        </w:rPr>
        <w:t xml:space="preserve"> </w:t>
      </w:r>
      <w:r>
        <w:rPr>
          <w:sz w:val="28"/>
        </w:rPr>
        <w:t>года.</w:t>
      </w:r>
    </w:p>
    <w:p w14:paraId="17000000">
      <w:pPr>
        <w:ind w:firstLine="851"/>
        <w:rPr>
          <w:sz w:val="28"/>
        </w:rPr>
      </w:pPr>
    </w:p>
    <w:p w14:paraId="18000000">
      <w:pPr>
        <w:ind w:firstLine="851"/>
        <w:rPr>
          <w:sz w:val="28"/>
        </w:rPr>
      </w:pPr>
    </w:p>
    <w:p w14:paraId="19000000">
      <w:pPr>
        <w:ind w:firstLine="851"/>
        <w:rPr>
          <w:sz w:val="28"/>
        </w:rPr>
      </w:pPr>
    </w:p>
    <w:p w14:paraId="1A000000">
      <w:pPr>
        <w:tabs>
          <w:tab w:leader="none" w:pos="7618" w:val="left"/>
        </w:tabs>
        <w:ind w:firstLine="0" w:left="-704"/>
        <w:rPr>
          <w:sz w:val="28"/>
        </w:rPr>
      </w:pPr>
    </w:p>
    <w:p w14:paraId="1B000000">
      <w:pPr>
        <w:tabs>
          <w:tab w:leader="none" w:pos="7618" w:val="left"/>
        </w:tabs>
        <w:ind w:firstLine="0" w:left="5"/>
        <w:rPr>
          <w:sz w:val="28"/>
        </w:rPr>
      </w:pPr>
      <w:r>
        <w:rPr>
          <w:sz w:val="28"/>
        </w:rPr>
        <w:t xml:space="preserve">Заместитель председателя               </w:t>
      </w:r>
      <w:r>
        <w:rPr>
          <w:sz w:val="28"/>
        </w:rPr>
        <w:t xml:space="preserve">                                   </w:t>
      </w:r>
      <w:r>
        <w:rPr>
          <w:sz w:val="28"/>
        </w:rPr>
        <w:t xml:space="preserve">                Е.Д. Шатохина</w:t>
      </w:r>
    </w:p>
    <w:p w14:paraId="1C000000">
      <w:pPr>
        <w:rPr>
          <w:sz w:val="28"/>
        </w:rPr>
      </w:pPr>
    </w:p>
    <w:p w14:paraId="1D000000">
      <w:pPr>
        <w:sectPr>
          <w:headerReference r:id="rId2" w:type="default"/>
          <w:pgSz w:h="16838" w:w="11906"/>
          <w:pgMar w:bottom="1134" w:footer="709" w:gutter="0" w:header="709" w:left="1701" w:right="567" w:top="1134"/>
          <w:titlePg/>
        </w:sectPr>
      </w:pPr>
    </w:p>
    <w:tbl>
      <w:tblPr>
        <w:tblStyle w:val="Style_4"/>
        <w:tblLayout w:type="fixed"/>
      </w:tblPr>
      <w:tblGrid>
        <w:gridCol w:w="5508"/>
        <w:gridCol w:w="4500"/>
      </w:tblGrid>
      <w:tr>
        <w:trPr>
          <w:trHeight w:hRule="atLeast" w:val="376"/>
        </w:trPr>
        <w:tc>
          <w:tcPr>
            <w:tcW w:type="dxa" w:w="5508"/>
            <w:shd w:fill="auto" w:val="clear"/>
          </w:tcPr>
          <w:p w14:paraId="1E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4500"/>
            <w:shd w:fill="auto" w:val="clear"/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Приложение</w:t>
            </w:r>
          </w:p>
          <w:p w14:paraId="20000000">
            <w:pPr>
              <w:ind/>
              <w:jc w:val="center"/>
              <w:rPr>
                <w:sz w:val="28"/>
              </w:rPr>
            </w:pPr>
          </w:p>
        </w:tc>
      </w:tr>
      <w:tr>
        <w:tc>
          <w:tcPr>
            <w:tcW w:type="dxa" w:w="5508"/>
            <w:shd w:fill="auto" w:val="clear"/>
          </w:tcPr>
          <w:p w14:paraId="21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4500"/>
            <w:shd w:fill="auto" w:val="clear"/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распоряжению Контрольно-счетной палаты муниципального образования Кавказский район от 09 февраля 2026 г. №4-р</w:t>
            </w:r>
          </w:p>
        </w:tc>
      </w:tr>
    </w:tbl>
    <w:p w14:paraId="23000000">
      <w:pPr>
        <w:rPr>
          <w:sz w:val="28"/>
        </w:rPr>
      </w:pPr>
    </w:p>
    <w:p w14:paraId="24000000">
      <w:pPr>
        <w:rPr>
          <w:sz w:val="28"/>
        </w:rPr>
      </w:pPr>
    </w:p>
    <w:p w14:paraId="25000000">
      <w:pPr>
        <w:ind/>
        <w:jc w:val="center"/>
        <w:rPr>
          <w:sz w:val="28"/>
        </w:rPr>
      </w:pPr>
      <w:r>
        <w:rPr>
          <w:sz w:val="28"/>
        </w:rPr>
        <w:t>ПОРЯДОК</w:t>
      </w:r>
    </w:p>
    <w:p w14:paraId="26000000">
      <w:pPr>
        <w:ind/>
        <w:jc w:val="center"/>
        <w:rPr>
          <w:sz w:val="28"/>
        </w:rPr>
      </w:pPr>
      <w:r>
        <w:rPr>
          <w:sz w:val="28"/>
        </w:rPr>
        <w:t>осуществления Контрольно – счетной палатой муниципального образования Кавказский район бюджетных полномочий администратора, главного администратора дохо</w:t>
      </w:r>
      <w:r>
        <w:rPr>
          <w:sz w:val="28"/>
        </w:rPr>
        <w:t>дов местного бюджета по коду 910</w:t>
      </w:r>
      <w:r>
        <w:rPr>
          <w:sz w:val="28"/>
        </w:rPr>
        <w:t xml:space="preserve"> «</w:t>
      </w:r>
      <w:r>
        <w:rPr>
          <w:sz w:val="28"/>
        </w:rPr>
        <w:t>Контрольно-счетная палата муниципального образования Кавказский район</w:t>
      </w:r>
      <w:r>
        <w:rPr>
          <w:sz w:val="28"/>
        </w:rPr>
        <w:t>»</w:t>
      </w:r>
    </w:p>
    <w:p w14:paraId="27000000">
      <w:pPr>
        <w:rPr>
          <w:sz w:val="28"/>
        </w:rPr>
      </w:pPr>
    </w:p>
    <w:p w14:paraId="28000000">
      <w:pPr>
        <w:rPr>
          <w:sz w:val="28"/>
        </w:rPr>
      </w:pPr>
    </w:p>
    <w:p w14:paraId="29000000">
      <w:pPr>
        <w:ind w:firstLine="708"/>
        <w:jc w:val="both"/>
        <w:rPr>
          <w:sz w:val="28"/>
        </w:rPr>
      </w:pPr>
      <w:r>
        <w:rPr>
          <w:sz w:val="28"/>
        </w:rPr>
        <w:t>Настоящий Порядок разработан в соответствии с Бюджетным кодексом Российской Федерации (далее – БК РФ)</w:t>
      </w:r>
      <w:r>
        <w:rPr>
          <w:sz w:val="28"/>
        </w:rPr>
        <w:t xml:space="preserve">, приказом Минфина России от 15 ноября 2024 г. №172н </w:t>
      </w:r>
      <w:r>
        <w:rPr>
          <w:sz w:val="28"/>
        </w:rPr>
        <w:t>«</w:t>
      </w:r>
      <w:r>
        <w:rPr>
          <w:sz w:val="28"/>
        </w:rPr>
        <w:t>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</w:t>
      </w:r>
      <w:r>
        <w:rPr>
          <w:sz w:val="28"/>
        </w:rPr>
        <w:t>» (далее – Приказ №172н)</w:t>
      </w:r>
      <w:r>
        <w:rPr>
          <w:sz w:val="28"/>
        </w:rPr>
        <w:t xml:space="preserve">, приказом Минфина России от 24 мая 2022 г. №82н </w:t>
      </w:r>
      <w:r>
        <w:rPr>
          <w:sz w:val="28"/>
        </w:rPr>
        <w:t>«</w:t>
      </w:r>
      <w:r>
        <w:rPr>
          <w:sz w:val="28"/>
        </w:rPr>
        <w:t>О Порядке формирован</w:t>
      </w:r>
      <w:r>
        <w:rPr>
          <w:sz w:val="28"/>
        </w:rPr>
        <w:t>ия и применения кодов бюджетной классификации Российской Федерации</w:t>
      </w:r>
      <w:r>
        <w:rPr>
          <w:sz w:val="28"/>
        </w:rPr>
        <w:t>, их структуре и принципах назначения</w:t>
      </w:r>
      <w:r>
        <w:rPr>
          <w:sz w:val="28"/>
        </w:rPr>
        <w:t xml:space="preserve">» (далее – Приказ №82н), </w:t>
      </w:r>
      <w:r>
        <w:rPr>
          <w:sz w:val="28"/>
        </w:rPr>
        <w:t xml:space="preserve">приказом Федерального казначейства от 17 октября 2016 года №21н </w:t>
      </w:r>
      <w:r>
        <w:rPr>
          <w:sz w:val="28"/>
        </w:rPr>
        <w:t>«</w:t>
      </w:r>
      <w:r>
        <w:rPr>
          <w:sz w:val="28"/>
        </w:rPr>
        <w:t>О Порядке открытия и ведения лицевых счетов территориальными органами Федерального казначейства</w:t>
      </w:r>
      <w:r>
        <w:rPr>
          <w:sz w:val="28"/>
        </w:rPr>
        <w:t xml:space="preserve">» (далее – Приказ №21н), </w:t>
      </w:r>
      <w:r>
        <w:rPr>
          <w:sz w:val="28"/>
        </w:rPr>
        <w:t>постановлением администрации муниципального образования Кавказски</w:t>
      </w:r>
      <w:r>
        <w:rPr>
          <w:sz w:val="28"/>
        </w:rPr>
        <w:t>й район от 24</w:t>
      </w:r>
      <w:r>
        <w:rPr>
          <w:sz w:val="28"/>
        </w:rPr>
        <w:t xml:space="preserve"> </w:t>
      </w:r>
      <w:r>
        <w:rPr>
          <w:sz w:val="28"/>
        </w:rPr>
        <w:t>декабря</w:t>
      </w:r>
      <w:r>
        <w:rPr>
          <w:sz w:val="28"/>
        </w:rPr>
        <w:t xml:space="preserve"> </w:t>
      </w:r>
      <w:r>
        <w:rPr>
          <w:sz w:val="28"/>
        </w:rPr>
        <w:t>20</w:t>
      </w:r>
      <w:r>
        <w:rPr>
          <w:sz w:val="28"/>
        </w:rPr>
        <w:t>21</w:t>
      </w:r>
      <w:r>
        <w:rPr>
          <w:sz w:val="28"/>
        </w:rPr>
        <w:t xml:space="preserve"> года № </w:t>
      </w:r>
      <w:r>
        <w:rPr>
          <w:sz w:val="28"/>
        </w:rPr>
        <w:t>1926</w:t>
      </w:r>
      <w:r>
        <w:rPr>
          <w:sz w:val="28"/>
        </w:rPr>
        <w:t xml:space="preserve"> «Об утверждении  порядка осуществления органами местного самоуправления Кавказского района и (или) находящимися в их ведении казенными учреждениями бюджетных полномочий главных администраторов доходов бюджета муниципального образования Кавказский </w:t>
      </w:r>
      <w:r>
        <w:rPr>
          <w:sz w:val="28"/>
        </w:rPr>
        <w:t>район</w:t>
      </w:r>
      <w:r>
        <w:rPr>
          <w:sz w:val="28"/>
        </w:rPr>
        <w:t>»</w:t>
      </w:r>
      <w:r>
        <w:rPr>
          <w:sz w:val="28"/>
        </w:rPr>
        <w:t xml:space="preserve"> и устанавливает правила осуществления К</w:t>
      </w:r>
      <w:r>
        <w:rPr>
          <w:sz w:val="28"/>
        </w:rPr>
        <w:t>онтрольно-счетной палаты</w:t>
      </w:r>
      <w:r>
        <w:rPr>
          <w:sz w:val="28"/>
        </w:rPr>
        <w:t xml:space="preserve"> муниципального образования Кавказский район (далее – К</w:t>
      </w:r>
      <w:r>
        <w:rPr>
          <w:sz w:val="28"/>
        </w:rPr>
        <w:t>онтрольно-счетная палата</w:t>
      </w:r>
      <w:r>
        <w:rPr>
          <w:sz w:val="28"/>
        </w:rPr>
        <w:t>) полномочий администратора доходов, главного администратора доходов местного бюджета.</w:t>
      </w:r>
    </w:p>
    <w:p w14:paraId="2A000000">
      <w:pPr>
        <w:ind/>
        <w:jc w:val="both"/>
        <w:rPr>
          <w:sz w:val="28"/>
        </w:rPr>
      </w:pPr>
    </w:p>
    <w:p w14:paraId="2B000000">
      <w:pPr>
        <w:ind/>
        <w:jc w:val="center"/>
        <w:rPr>
          <w:sz w:val="28"/>
        </w:rPr>
      </w:pPr>
      <w:r>
        <w:rPr>
          <w:sz w:val="28"/>
        </w:rPr>
        <w:t>I. Общие положения</w:t>
      </w:r>
    </w:p>
    <w:p w14:paraId="2C000000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</w:rPr>
        <w:t>Контрольно-счетная палата</w:t>
      </w:r>
      <w:r>
        <w:rPr>
          <w:sz w:val="28"/>
        </w:rPr>
        <w:t xml:space="preserve"> в качестве администратора доходов, главного администратора доходов местного бюджета осуществляет администрирование доходов по кодам доходов бюджетной классификации Российской Федерации по перечню согласно приложению к настоящему Порядку.</w:t>
      </w:r>
    </w:p>
    <w:p w14:paraId="2D000000">
      <w:pPr>
        <w:ind w:firstLine="567"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 xml:space="preserve"> </w:t>
      </w:r>
      <w:r>
        <w:rPr>
          <w:sz w:val="28"/>
        </w:rPr>
        <w:t>Контрольно – счетная палата осуществляет администрирование доходов бюджетов в соответствии с полномочиями, установленными Бюджетным кодексом Российской Федерации</w:t>
      </w:r>
      <w:r>
        <w:rPr>
          <w:sz w:val="28"/>
        </w:rPr>
        <w:t>:</w:t>
      </w:r>
    </w:p>
    <w:p w14:paraId="2E000000">
      <w:pPr>
        <w:ind w:firstLine="567"/>
        <w:jc w:val="both"/>
        <w:rPr>
          <w:sz w:val="28"/>
        </w:rPr>
      </w:pPr>
      <w:r>
        <w:rPr>
          <w:sz w:val="28"/>
        </w:rPr>
        <w:t>1) осуществляет начисление, учет и контроль за правильностью исчисления, полнотой и своевременностью осуществления платежей в бюджет, пеней и  штрафов по ним;</w:t>
      </w:r>
    </w:p>
    <w:p w14:paraId="2F000000">
      <w:pPr>
        <w:ind w:firstLine="567"/>
        <w:jc w:val="both"/>
        <w:rPr>
          <w:sz w:val="28"/>
        </w:rPr>
      </w:pPr>
      <w:r>
        <w:rPr>
          <w:sz w:val="28"/>
        </w:rPr>
        <w:t>2) осуществляет взыскание задолженности по платежам в бюджет, пеней и штрафов;</w:t>
      </w:r>
    </w:p>
    <w:p w14:paraId="30000000">
      <w:pPr>
        <w:ind w:firstLine="567"/>
        <w:jc w:val="both"/>
        <w:rPr>
          <w:sz w:val="28"/>
        </w:rPr>
      </w:pPr>
      <w:r>
        <w:rPr>
          <w:sz w:val="28"/>
        </w:rPr>
        <w:t>3) принимает решение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14:paraId="31000000">
      <w:pPr>
        <w:ind w:firstLine="567"/>
        <w:jc w:val="both"/>
        <w:rPr>
          <w:sz w:val="28"/>
        </w:rPr>
      </w:pPr>
      <w:r>
        <w:rPr>
          <w:sz w:val="28"/>
        </w:rPr>
        <w:t>4) принимает решение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14:paraId="32000000">
      <w:pPr>
        <w:ind w:firstLine="567"/>
        <w:jc w:val="both"/>
        <w:rPr>
          <w:sz w:val="28"/>
        </w:rPr>
      </w:pPr>
      <w:r>
        <w:rPr>
          <w:sz w:val="28"/>
        </w:rPr>
        <w:t xml:space="preserve">5)  предоставляет информацию, необходимую для платежей, являющихся источниками формирования доходов бюджетов бюджетной системы Российской Федерации,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</w:t>
      </w:r>
      <w:r>
        <w:rPr>
          <w:sz w:val="28"/>
        </w:rPr>
        <w:t>«</w:t>
      </w:r>
      <w:r>
        <w:rPr>
          <w:sz w:val="28"/>
        </w:rPr>
        <w:t>Об организации предоставления государственных и муниципальных услуг</w:t>
      </w:r>
      <w:r>
        <w:rPr>
          <w:sz w:val="28"/>
        </w:rPr>
        <w:t>»;</w:t>
      </w:r>
    </w:p>
    <w:p w14:paraId="33000000">
      <w:pPr>
        <w:ind w:firstLine="567"/>
        <w:jc w:val="both"/>
        <w:rPr>
          <w:sz w:val="28"/>
        </w:rPr>
      </w:pPr>
      <w:r>
        <w:rPr>
          <w:sz w:val="28"/>
        </w:rPr>
        <w:t>6) представляет сведения, необходимые для составления проекта бюджета;</w:t>
      </w:r>
    </w:p>
    <w:p w14:paraId="34000000">
      <w:pPr>
        <w:ind w:firstLine="567"/>
        <w:jc w:val="both"/>
        <w:rPr>
          <w:sz w:val="28"/>
        </w:rPr>
      </w:pPr>
      <w:r>
        <w:rPr>
          <w:sz w:val="28"/>
        </w:rPr>
        <w:t>7) представляет сведения для составления и ведения кассового плана;</w:t>
      </w:r>
    </w:p>
    <w:p w14:paraId="35000000">
      <w:pPr>
        <w:ind w:firstLine="567"/>
        <w:jc w:val="both"/>
        <w:rPr>
          <w:sz w:val="28"/>
        </w:rPr>
      </w:pPr>
      <w:r>
        <w:rPr>
          <w:sz w:val="28"/>
        </w:rPr>
        <w:t>8) утверждает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14:paraId="36000000">
      <w:pPr>
        <w:ind w:firstLine="567"/>
        <w:jc w:val="both"/>
        <w:rPr>
          <w:sz w:val="28"/>
        </w:rPr>
      </w:pPr>
      <w:r>
        <w:rPr>
          <w:sz w:val="28"/>
        </w:rPr>
        <w:t>9) принимает решение о признании безнадежной к взысканию задолженности по платежам в бюджет;</w:t>
      </w:r>
    </w:p>
    <w:p w14:paraId="37000000">
      <w:pPr>
        <w:ind w:firstLine="567"/>
        <w:jc w:val="both"/>
        <w:rPr>
          <w:sz w:val="28"/>
        </w:rPr>
      </w:pPr>
      <w:r>
        <w:rPr>
          <w:sz w:val="28"/>
        </w:rPr>
        <w:t xml:space="preserve">10) 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актами, регулирующими бюджетные правоотношения. </w:t>
      </w:r>
    </w:p>
    <w:p w14:paraId="38000000">
      <w:pPr>
        <w:ind/>
        <w:jc w:val="both"/>
        <w:rPr>
          <w:sz w:val="28"/>
        </w:rPr>
      </w:pPr>
    </w:p>
    <w:p w14:paraId="39000000">
      <w:pPr>
        <w:ind/>
        <w:jc w:val="center"/>
        <w:rPr>
          <w:sz w:val="28"/>
        </w:rPr>
      </w:pPr>
      <w:r>
        <w:rPr>
          <w:sz w:val="28"/>
        </w:rPr>
        <w:t>II. Порядок администрирования</w:t>
      </w:r>
    </w:p>
    <w:p w14:paraId="3A000000">
      <w:pPr>
        <w:ind/>
        <w:jc w:val="both"/>
        <w:rPr>
          <w:sz w:val="28"/>
        </w:rPr>
      </w:pPr>
    </w:p>
    <w:p w14:paraId="3B000000">
      <w:pPr>
        <w:ind w:firstLine="567"/>
        <w:jc w:val="both"/>
        <w:rPr>
          <w:sz w:val="28"/>
        </w:rPr>
      </w:pPr>
      <w:r>
        <w:rPr>
          <w:sz w:val="28"/>
        </w:rPr>
        <w:t xml:space="preserve">1. </w:t>
      </w:r>
      <w:r>
        <w:rPr>
          <w:sz w:val="28"/>
        </w:rPr>
        <w:t>Сотрудниками Контрольно-счетной палаты</w:t>
      </w:r>
      <w:r>
        <w:rPr>
          <w:sz w:val="28"/>
        </w:rPr>
        <w:t xml:space="preserve"> в пределах своей компетенции оформляют документы, являющиеся основанием для начисления администрируемых доходов или внесения изменений в ранее произведенные начисления.</w:t>
      </w:r>
    </w:p>
    <w:p w14:paraId="3C000000">
      <w:pPr>
        <w:ind w:firstLine="567"/>
        <w:jc w:val="both"/>
        <w:rPr>
          <w:sz w:val="28"/>
        </w:rPr>
      </w:pPr>
      <w:r>
        <w:rPr>
          <w:sz w:val="28"/>
        </w:rPr>
        <w:t>2. Контрольно – счетная палата осуществляет контроль за правильностью исчисления сумм доходов, а также проводит работы, направленные на взыскание имеющейся задолженности в сроки, установленные законодательством Российской Федерации, анализ и прогнозирование поступлений на очередной финансовый год  с разбивкой помесячно в разрезе кодов бюджетной классификации.</w:t>
      </w:r>
    </w:p>
    <w:p w14:paraId="3D000000">
      <w:pPr>
        <w:ind w:firstLine="567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</w:rPr>
        <w:t>Контрольно-счетная палата</w:t>
      </w:r>
      <w:r>
        <w:rPr>
          <w:sz w:val="28"/>
        </w:rPr>
        <w:t xml:space="preserve"> </w:t>
      </w:r>
      <w:r>
        <w:rPr>
          <w:sz w:val="28"/>
        </w:rPr>
        <w:t xml:space="preserve">осуществляет начисление и </w:t>
      </w:r>
      <w:r>
        <w:rPr>
          <w:sz w:val="28"/>
        </w:rPr>
        <w:t>учет</w:t>
      </w:r>
      <w:r>
        <w:rPr>
          <w:sz w:val="28"/>
        </w:rPr>
        <w:t xml:space="preserve"> сумм доходов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>подготовку и согласование актов сверок с плательщиками в случае возврата</w:t>
      </w:r>
      <w:r>
        <w:rPr>
          <w:sz w:val="28"/>
        </w:rPr>
        <w:t>.</w:t>
      </w:r>
    </w:p>
    <w:p w14:paraId="3E000000">
      <w:pPr>
        <w:ind w:firstLine="567"/>
        <w:jc w:val="both"/>
        <w:rPr>
          <w:sz w:val="28"/>
        </w:rPr>
      </w:pPr>
      <w:r>
        <w:rPr>
          <w:sz w:val="28"/>
        </w:rPr>
        <w:t>4. Решение о возврате излишне или неверно уплаченных (взысканных) платежей в бюджет, пеней и штрафов по ним принимается в соответствии с разделом 7 к настоящему Порядку.</w:t>
      </w:r>
    </w:p>
    <w:p w14:paraId="3F000000">
      <w:pPr>
        <w:ind w:firstLine="567"/>
        <w:jc w:val="both"/>
        <w:rPr>
          <w:sz w:val="28"/>
        </w:rPr>
      </w:pPr>
      <w:r>
        <w:rPr>
          <w:sz w:val="28"/>
        </w:rPr>
        <w:t>5. Составление бюджетной отчетности администратора доходов осуществляется МКУ «Централизованная бухгалтерия  администрации муниципального образования Кавказский район» (по договору)</w:t>
      </w:r>
      <w:r>
        <w:rPr>
          <w:sz w:val="28"/>
        </w:rPr>
        <w:t xml:space="preserve"> на основании данных лицевого счета и кассового плана.</w:t>
      </w:r>
    </w:p>
    <w:p w14:paraId="40000000">
      <w:pPr>
        <w:ind w:firstLine="567"/>
        <w:jc w:val="both"/>
        <w:rPr>
          <w:sz w:val="28"/>
        </w:rPr>
      </w:pPr>
      <w:r>
        <w:rPr>
          <w:sz w:val="28"/>
        </w:rPr>
        <w:t xml:space="preserve">6. </w:t>
      </w:r>
      <w:r>
        <w:rPr>
          <w:sz w:val="28"/>
        </w:rPr>
        <w:t>Контрольно-счетная палата</w:t>
      </w:r>
      <w:r>
        <w:rPr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аправля</w:t>
      </w:r>
      <w:r>
        <w:rPr>
          <w:sz w:val="28"/>
        </w:rPr>
        <w:t>е</w:t>
      </w:r>
      <w:r>
        <w:rPr>
          <w:sz w:val="28"/>
        </w:rPr>
        <w:t xml:space="preserve">т в УФК документы </w:t>
      </w:r>
      <w:r>
        <w:rPr>
          <w:sz w:val="28"/>
        </w:rPr>
        <w:t>Контрольно-счетной палаты</w:t>
      </w:r>
      <w:r>
        <w:rPr>
          <w:sz w:val="28"/>
        </w:rPr>
        <w:t xml:space="preserve"> </w:t>
      </w:r>
      <w:r>
        <w:rPr>
          <w:sz w:val="28"/>
        </w:rPr>
        <w:t>в порядке и в сроки, установленные нормативными правовыми актами Министерства финансов Российской Федерации и Федерального казначейства:</w:t>
      </w:r>
    </w:p>
    <w:p w14:paraId="41000000">
      <w:pPr>
        <w:ind w:firstLine="709" w:right="-7"/>
        <w:jc w:val="both"/>
        <w:rPr>
          <w:sz w:val="28"/>
        </w:rPr>
      </w:pPr>
      <w:r>
        <w:rPr>
          <w:sz w:val="28"/>
        </w:rPr>
        <w:t>карточку образцов подписей к лицевым счетам по форме, утвержденной Федеральным казначейством;</w:t>
      </w:r>
    </w:p>
    <w:p w14:paraId="42000000">
      <w:pPr>
        <w:ind w:firstLine="709"/>
        <w:jc w:val="both"/>
        <w:rPr>
          <w:sz w:val="28"/>
        </w:rPr>
      </w:pPr>
      <w:r>
        <w:rPr>
          <w:sz w:val="28"/>
        </w:rPr>
        <w:t>распоряжение о совершении казначейского платежа (возврат) по форме, утвержденной Федеральным казначейством;</w:t>
      </w:r>
    </w:p>
    <w:p w14:paraId="43000000">
      <w:pPr>
        <w:ind w:firstLine="709"/>
        <w:jc w:val="both"/>
        <w:rPr>
          <w:sz w:val="28"/>
        </w:rPr>
      </w:pPr>
      <w:r>
        <w:rPr>
          <w:sz w:val="28"/>
        </w:rPr>
        <w:t>распоряжение о совершении казначейского платежа (уточнение) по форме, утвержденной Федеральным казначейством</w:t>
      </w:r>
      <w:r>
        <w:rPr>
          <w:sz w:val="28"/>
        </w:rPr>
        <w:t>.</w:t>
      </w:r>
    </w:p>
    <w:p w14:paraId="44000000">
      <w:pPr>
        <w:ind w:firstLine="708"/>
        <w:jc w:val="both"/>
        <w:rPr>
          <w:sz w:val="28"/>
        </w:rPr>
      </w:pPr>
      <w:r>
        <w:rPr>
          <w:sz w:val="28"/>
        </w:rPr>
        <w:t>7. Сотрудниками Контрольно – счетной палаты до начала финансового года, а также в случае изменения отдельных реквизитов доводятся до плательщиков сведения о реквизитах счета, открытого в УФК для учета доходов, на который зачисляются администрируемые доходы, и другие реквизиты, необходимые для оформления расчетных документов, а также порядок заполнения платежных поручений на перечисление платежей в бюджет в соответствии с требованиями правил указания информации в полях расчетных документов на перечисление налогов, сборов и иных платежей в бюджетную систему Российской Федерации, утверждаемыми Министерством финансов Российской Федерации.</w:t>
      </w:r>
    </w:p>
    <w:p w14:paraId="45000000">
      <w:pPr>
        <w:ind w:firstLine="708"/>
        <w:jc w:val="both"/>
        <w:rPr>
          <w:sz w:val="28"/>
        </w:rPr>
      </w:pPr>
      <w:r>
        <w:rPr>
          <w:sz w:val="28"/>
        </w:rPr>
        <w:t>8. Контрольно – счетная палата получает от УФК документы, предусмотренные регламентом о порядке и условиях обмена информацией, в пределах компетенции.</w:t>
      </w:r>
    </w:p>
    <w:p w14:paraId="46000000">
      <w:pPr>
        <w:ind/>
        <w:jc w:val="both"/>
        <w:rPr>
          <w:sz w:val="28"/>
        </w:rPr>
      </w:pPr>
    </w:p>
    <w:p w14:paraId="47000000">
      <w:pPr>
        <w:ind/>
        <w:jc w:val="center"/>
        <w:rPr>
          <w:sz w:val="28"/>
        </w:rPr>
      </w:pPr>
      <w:r>
        <w:rPr>
          <w:sz w:val="28"/>
        </w:rPr>
        <w:t>III. Начисление поступлений</w:t>
      </w:r>
    </w:p>
    <w:p w14:paraId="48000000">
      <w:pPr>
        <w:ind/>
        <w:jc w:val="both"/>
        <w:rPr>
          <w:sz w:val="28"/>
        </w:rPr>
      </w:pPr>
    </w:p>
    <w:p w14:paraId="49000000">
      <w:pPr>
        <w:ind w:firstLine="567" w:right="0"/>
        <w:jc w:val="both"/>
        <w:rPr>
          <w:sz w:val="28"/>
          <w:shd w:fill="FFD821" w:val="clear"/>
        </w:rPr>
      </w:pPr>
      <w:r>
        <w:rPr>
          <w:sz w:val="28"/>
        </w:rPr>
        <w:t xml:space="preserve">Начисление администрируемых доходов сотрудниками </w:t>
      </w:r>
      <w:r>
        <w:rPr>
          <w:sz w:val="28"/>
        </w:rPr>
        <w:t>Контрольно – счетной палаты</w:t>
      </w:r>
      <w:r>
        <w:rPr>
          <w:sz w:val="28"/>
        </w:rPr>
        <w:t xml:space="preserve"> осуществляется в следующем порядке:</w:t>
      </w:r>
    </w:p>
    <w:p w14:paraId="4A000000">
      <w:pPr>
        <w:ind w:firstLine="567" w:right="0"/>
        <w:jc w:val="both"/>
        <w:rPr>
          <w:sz w:val="28"/>
          <w:shd w:fill="FFD821" w:val="clear"/>
        </w:rPr>
      </w:pPr>
      <w:r>
        <w:rPr>
          <w:sz w:val="28"/>
        </w:rPr>
        <w:t>1) доходов, полученных от штрафов, неустойки, пенив случае просрочки исполнения поставщиком (подрядчиком, исполнителем) обязательств, предусмотренных муниципальным контрактом - на основании копии</w:t>
      </w:r>
      <w:r>
        <w:rPr>
          <w:sz w:val="28"/>
        </w:rPr>
        <w:t xml:space="preserve"> </w:t>
      </w:r>
      <w:r>
        <w:rPr>
          <w:sz w:val="28"/>
          <w:highlight w:val="white"/>
        </w:rPr>
        <w:t xml:space="preserve">требования об уплате неустоек (штрафов, пеней) </w:t>
      </w:r>
      <w:r>
        <w:rPr>
          <w:sz w:val="28"/>
        </w:rPr>
        <w:t>и (или) копии судебных актов;</w:t>
      </w:r>
    </w:p>
    <w:p w14:paraId="4B000000">
      <w:pPr>
        <w:ind w:firstLine="567" w:right="0"/>
        <w:jc w:val="both"/>
        <w:rPr>
          <w:sz w:val="28"/>
          <w:shd w:fill="FFD821" w:val="clear"/>
        </w:rPr>
      </w:pPr>
      <w:r>
        <w:rPr>
          <w:sz w:val="28"/>
        </w:rPr>
        <w:t>2) доходов, полученных от возврата остатков субсидий, субвенций и иных межбюджетных трансфертов, имеющих целевое назначение, прошлых лет от муниципальных образований, возврата остатков межбюджетных трансфертов в краевой бюджет - на основании уведомлений по расчетам между бюджетами, полученных от главных администраторов межбюджетных трансфертов, главных администраторов доходов по возврату остатков целевых средств;</w:t>
      </w:r>
    </w:p>
    <w:p w14:paraId="4C000000">
      <w:pPr>
        <w:ind w:firstLine="567" w:right="0"/>
        <w:jc w:val="both"/>
        <w:rPr>
          <w:sz w:val="28"/>
        </w:rPr>
      </w:pPr>
      <w:r>
        <w:rPr>
          <w:sz w:val="28"/>
        </w:rPr>
        <w:t>3) доходов, полученных от возмещения ущерба – на основании копии</w:t>
      </w:r>
      <w:r>
        <w:rPr>
          <w:sz w:val="28"/>
        </w:rPr>
        <w:t xml:space="preserve"> </w:t>
      </w:r>
      <w:r>
        <w:rPr>
          <w:sz w:val="28"/>
          <w:highlight w:val="white"/>
        </w:rPr>
        <w:t>требования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к плательщику</w:t>
      </w:r>
      <w:r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возмещения ущерба</w:t>
      </w:r>
      <w:r>
        <w:rPr>
          <w:sz w:val="28"/>
          <w:highlight w:val="white"/>
        </w:rPr>
        <w:t xml:space="preserve"> </w:t>
      </w:r>
      <w:r>
        <w:rPr>
          <w:sz w:val="28"/>
        </w:rPr>
        <w:t>и (или) копии судебных актов;</w:t>
      </w:r>
    </w:p>
    <w:p w14:paraId="4D000000">
      <w:pPr>
        <w:ind w:firstLine="567" w:right="0"/>
        <w:jc w:val="both"/>
        <w:rPr>
          <w:sz w:val="28"/>
          <w:shd w:fill="FFD821" w:val="clear"/>
        </w:rPr>
      </w:pPr>
      <w:r>
        <w:rPr>
          <w:sz w:val="28"/>
        </w:rPr>
        <w:t>4) по прочим доходам -</w:t>
      </w:r>
      <w:r>
        <w:rPr>
          <w:sz w:val="28"/>
        </w:rPr>
        <w:t xml:space="preserve"> </w:t>
      </w:r>
      <w:r>
        <w:rPr>
          <w:sz w:val="28"/>
          <w:highlight w:val="white"/>
        </w:rPr>
        <w:t>в соответствии с документами, являющимися основанием для начисления доходов.</w:t>
      </w:r>
    </w:p>
    <w:p w14:paraId="4E000000">
      <w:pPr>
        <w:ind/>
        <w:jc w:val="both"/>
        <w:rPr>
          <w:sz w:val="28"/>
        </w:rPr>
      </w:pPr>
    </w:p>
    <w:p w14:paraId="4F000000">
      <w:pPr>
        <w:ind/>
        <w:jc w:val="center"/>
        <w:rPr>
          <w:sz w:val="28"/>
        </w:rPr>
      </w:pPr>
      <w:r>
        <w:rPr>
          <w:sz w:val="28"/>
        </w:rPr>
        <w:t>IV. Учет поступлений</w:t>
      </w:r>
    </w:p>
    <w:p w14:paraId="50000000">
      <w:pPr>
        <w:ind/>
        <w:jc w:val="both"/>
        <w:rPr>
          <w:sz w:val="28"/>
        </w:rPr>
      </w:pPr>
    </w:p>
    <w:p w14:paraId="51000000">
      <w:pPr>
        <w:widowControl w:val="0"/>
        <w:numPr>
          <w:numId w:val="1"/>
        </w:numPr>
        <w:spacing w:after="0" w:before="0" w:line="240" w:lineRule="auto"/>
        <w:ind w:firstLine="567" w:left="0" w:right="0"/>
        <w:jc w:val="both"/>
        <w:rPr>
          <w:sz w:val="28"/>
        </w:rPr>
      </w:pPr>
      <w:r>
        <w:rPr>
          <w:sz w:val="28"/>
        </w:rPr>
        <w:t>В случае обнаружения в платежных документах не</w:t>
      </w:r>
      <w:r>
        <w:rPr>
          <w:sz w:val="28"/>
        </w:rPr>
        <w:t xml:space="preserve"> </w:t>
      </w:r>
      <w:r>
        <w:rPr>
          <w:sz w:val="28"/>
        </w:rPr>
        <w:t>соответствия</w:t>
      </w:r>
      <w:r>
        <w:rPr>
          <w:sz w:val="28"/>
        </w:rPr>
        <w:t xml:space="preserve"> </w:t>
      </w:r>
      <w:r>
        <w:rPr>
          <w:sz w:val="28"/>
        </w:rPr>
        <w:t>кода бюджетной классификации</w:t>
      </w:r>
      <w:r>
        <w:rPr>
          <w:sz w:val="28"/>
        </w:rPr>
        <w:t xml:space="preserve"> </w:t>
      </w:r>
      <w:r>
        <w:rPr>
          <w:sz w:val="28"/>
        </w:rPr>
        <w:t>назначению платежа, требующего уточнения, либо в случае необходимости возврата остатков целевых средств в краевой бюджет по коду вида доходов 2 19 00000 00 0000 000 «Возврат остатков субсидий, субвенций и иных межбюджетных трансфертов, имеющих целевое назначение, прошлых лет», а также в случае необходимости возврата остатков целевых средств в бюджеты муниципальных образований по коду вида доходов 2 18 00000 00 0000 000 «Доходы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лет» при подтверждении наличия потребности в использовании остатков целевых средств на те же цели, сотрудниками Контрольно – счетной палаты в пределах компетенции оформляется служебная записка</w:t>
      </w:r>
      <w:r>
        <w:rPr>
          <w:sz w:val="28"/>
          <w:highlight w:val="white"/>
        </w:rPr>
        <w:t xml:space="preserve"> </w:t>
      </w:r>
      <w:r>
        <w:rPr>
          <w:sz w:val="28"/>
        </w:rPr>
        <w:t>об осуществлении соответствующей операции.</w:t>
      </w:r>
    </w:p>
    <w:p w14:paraId="52000000">
      <w:pPr>
        <w:widowControl w:val="0"/>
        <w:spacing w:after="0" w:before="0" w:line="240" w:lineRule="auto"/>
        <w:ind w:firstLine="567" w:left="0" w:right="0"/>
        <w:jc w:val="both"/>
        <w:rPr>
          <w:sz w:val="28"/>
        </w:rPr>
      </w:pPr>
      <w:r>
        <w:rPr>
          <w:sz w:val="28"/>
        </w:rPr>
        <w:t xml:space="preserve">2. По </w:t>
      </w:r>
      <w:r>
        <w:rPr>
          <w:sz w:val="28"/>
          <w:highlight w:val="white"/>
        </w:rPr>
        <w:t xml:space="preserve">платежам, относящимся к плате за пользование бюджетными кредитами, пени по </w:t>
      </w:r>
      <w:r>
        <w:rPr>
          <w:sz w:val="28"/>
        </w:rPr>
        <w:t xml:space="preserve">бюджетным кредитам, платежам, полученным от штрафов, неустойки, пени в случае просрочки исполнения поставщиком (подрядчиком, исполнителем) обязательств, предусмотренных муниципальным контрактом, платежам, полученным от возмещения ущерба </w:t>
      </w:r>
      <w:r>
        <w:rPr>
          <w:sz w:val="28"/>
        </w:rPr>
        <w:t>сотрудники Контрольно – счетной палаты</w:t>
      </w:r>
      <w:r>
        <w:rPr>
          <w:sz w:val="28"/>
        </w:rPr>
        <w:t xml:space="preserve"> оформляют служебную записку на уточнение кода классификации доходов бюджетов</w:t>
      </w:r>
      <w:r>
        <w:rPr>
          <w:sz w:val="28"/>
        </w:rPr>
        <w:t>.</w:t>
      </w:r>
    </w:p>
    <w:p w14:paraId="53000000">
      <w:pPr>
        <w:widowControl w:val="0"/>
        <w:spacing w:after="0" w:before="0" w:line="240" w:lineRule="auto"/>
        <w:ind w:right="0"/>
        <w:jc w:val="both"/>
        <w:rPr>
          <w:sz w:val="28"/>
        </w:rPr>
      </w:pPr>
      <w:r>
        <w:rPr>
          <w:sz w:val="28"/>
          <w:highlight w:val="white"/>
        </w:rPr>
        <w:t xml:space="preserve">      3. При осуществлении возврата остатков целевых средств в краевой бюджет по коду вида доходов 2 19 00000 00 0000 000 «Возврат остатков субсидий, субвенций и иных межбюджетных трансфертов, имеющих целевое назначение, прошлых лет» </w:t>
      </w:r>
      <w:r>
        <w:rPr>
          <w:sz w:val="28"/>
        </w:rPr>
        <w:t>сотрудники Контрольно – счетной палаты</w:t>
      </w:r>
      <w:r>
        <w:rPr>
          <w:sz w:val="28"/>
        </w:rPr>
        <w:t xml:space="preserve"> </w:t>
      </w:r>
      <w:r>
        <w:rPr>
          <w:sz w:val="28"/>
          <w:highlight w:val="white"/>
        </w:rPr>
        <w:t>на основании уведомления по расчетам между бюджетами формируют распоряжение о совершении казначейского платежа (возврат), подписывают его у председателя Контрольно – счетной палаты муниципального образования Кавказский район или лица, исполняющего его обязанности, и направляют в УФК по электронным каналам связи.</w:t>
      </w:r>
    </w:p>
    <w:p w14:paraId="54000000">
      <w:pPr>
        <w:spacing w:line="240" w:lineRule="auto"/>
        <w:ind w:firstLine="567" w:left="0" w:right="0"/>
        <w:jc w:val="both"/>
        <w:rPr>
          <w:sz w:val="28"/>
        </w:rPr>
      </w:pPr>
      <w:r>
        <w:rPr>
          <w:sz w:val="28"/>
        </w:rPr>
        <w:t xml:space="preserve">4. В случае подтверждения наличия потребности в использовании остатков целевых средств на те же цели, возврат в бюджет </w:t>
      </w:r>
      <w:r>
        <w:rPr>
          <w:sz w:val="28"/>
        </w:rPr>
        <w:t>муниципального образования</w:t>
      </w:r>
      <w:r>
        <w:rPr>
          <w:sz w:val="28"/>
        </w:rPr>
        <w:t xml:space="preserve"> </w:t>
      </w:r>
      <w:r>
        <w:rPr>
          <w:sz w:val="28"/>
        </w:rPr>
        <w:t xml:space="preserve">по коду вида доходов 2 18 00000 00 0000 000 «Доходы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лет» осуществляется </w:t>
      </w:r>
      <w:r>
        <w:rPr>
          <w:sz w:val="28"/>
        </w:rPr>
        <w:t xml:space="preserve">специалистами соответствующих отделов администрации муниципального образования </w:t>
      </w:r>
      <w:r>
        <w:rPr>
          <w:sz w:val="28"/>
        </w:rPr>
        <w:t>на основании служебной записки. С</w:t>
      </w:r>
      <w:r>
        <w:rPr>
          <w:sz w:val="28"/>
        </w:rPr>
        <w:t>отрудники Контрольно – счетной палаты</w:t>
      </w:r>
      <w:r>
        <w:rPr>
          <w:sz w:val="28"/>
        </w:rPr>
        <w:t xml:space="preserve"> </w:t>
      </w:r>
      <w:r>
        <w:rPr>
          <w:sz w:val="28"/>
        </w:rPr>
        <w:t xml:space="preserve">формируют уведомление по расчетам между бюджетами и распоряжение на совершение казначейского платежа (возврат), подписывают их у председателя </w:t>
      </w:r>
      <w:r>
        <w:rPr>
          <w:sz w:val="28"/>
          <w:highlight w:val="white"/>
        </w:rPr>
        <w:t xml:space="preserve">Контрольно – счетной палаты </w:t>
      </w:r>
      <w:r>
        <w:rPr>
          <w:sz w:val="28"/>
        </w:rPr>
        <w:t>или лица, исполняющего его обязанности, и направляют распоряжение на совершение казначейского платежа (возврат) в УФК по электронным каналам связи.</w:t>
      </w:r>
    </w:p>
    <w:p w14:paraId="55000000">
      <w:pPr>
        <w:ind/>
        <w:jc w:val="both"/>
        <w:rPr>
          <w:sz w:val="28"/>
        </w:rPr>
      </w:pPr>
    </w:p>
    <w:p w14:paraId="56000000">
      <w:pPr>
        <w:ind/>
        <w:jc w:val="center"/>
        <w:rPr>
          <w:sz w:val="28"/>
        </w:rPr>
      </w:pPr>
      <w:r>
        <w:rPr>
          <w:sz w:val="28"/>
        </w:rPr>
        <w:t>V. Учет невыясненных поступлений</w:t>
      </w:r>
    </w:p>
    <w:p w14:paraId="57000000">
      <w:pPr>
        <w:ind/>
        <w:jc w:val="both"/>
        <w:rPr>
          <w:sz w:val="28"/>
        </w:rPr>
      </w:pPr>
      <w:r>
        <w:rPr>
          <w:sz w:val="28"/>
        </w:rPr>
        <w:tab/>
      </w:r>
    </w:p>
    <w:p w14:paraId="58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 xml:space="preserve">1. Суммы невыясненных поступлений учитываются по коду вида доходов 1 17 01050 05 0000 180 «Невыясненные поступления, зачисляемые в бюджеты муниципальных районов» с указанием кода администратора доходов </w:t>
      </w:r>
      <w:r>
        <w:rPr>
          <w:sz w:val="28"/>
        </w:rPr>
        <w:t xml:space="preserve">                   </w:t>
      </w:r>
      <w:r>
        <w:rPr>
          <w:sz w:val="28"/>
        </w:rPr>
        <w:t>бюджета 910.</w:t>
      </w:r>
    </w:p>
    <w:p w14:paraId="59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>Невыясненные поступления, зачисленные в местный бюджет на лицевой счет администратора доходов бюджета, подлежат возврату (уточнению) не позднее трех лет со дня их зачисления на единый счет бюджета.</w:t>
      </w:r>
    </w:p>
    <w:p w14:paraId="5A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>По истечении трех лет невыясненные поступления, зачисленные в местный бюджет на лицевой счет администратора доходов бюджета и по которым не осуществлен возврат (уточнение), подлежат отражению по коду вида доходов 1 17 16000 05 0000 180 «</w:t>
      </w:r>
      <w:r>
        <w:rPr>
          <w:sz w:val="28"/>
          <w:highlight w:val="white"/>
        </w:rPr>
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района»</w:t>
      </w:r>
      <w:r>
        <w:rPr>
          <w:sz w:val="28"/>
        </w:rPr>
        <w:t xml:space="preserve"> с указанием кода администратора доходов бюджета 910</w:t>
      </w:r>
      <w:r>
        <w:rPr>
          <w:sz w:val="28"/>
        </w:rPr>
        <w:t xml:space="preserve"> </w:t>
      </w:r>
      <w:r>
        <w:rPr>
          <w:sz w:val="28"/>
        </w:rPr>
        <w:t>(далее – КБК прочих неналоговых доходов) и возврату (уточнению) не подлежат. Для отражения невыясненных поступлений по</w:t>
      </w:r>
      <w:r>
        <w:rPr>
          <w:sz w:val="28"/>
        </w:rPr>
        <w:t xml:space="preserve"> </w:t>
      </w:r>
      <w:r>
        <w:rPr>
          <w:sz w:val="28"/>
        </w:rPr>
        <w:t>КБК</w:t>
      </w:r>
      <w:r>
        <w:rPr>
          <w:sz w:val="28"/>
        </w:rPr>
        <w:t xml:space="preserve"> </w:t>
      </w:r>
      <w:r>
        <w:rPr>
          <w:sz w:val="28"/>
        </w:rPr>
        <w:t>прочих неналоговых доходов</w:t>
      </w:r>
      <w:r>
        <w:rPr>
          <w:sz w:val="28"/>
        </w:rPr>
        <w:t xml:space="preserve"> сотрудники Контрольно – счетной палаты</w:t>
      </w:r>
      <w:r>
        <w:rPr>
          <w:sz w:val="28"/>
        </w:rPr>
        <w:t xml:space="preserve"> </w:t>
      </w:r>
      <w:r>
        <w:rPr>
          <w:sz w:val="28"/>
        </w:rPr>
        <w:t>формируют служебную записку об уточнении сумм невыясненных поступлений с указанием даты их поступления на лицевой счет администратора доходов бюджета</w:t>
      </w:r>
      <w:r>
        <w:rPr>
          <w:sz w:val="28"/>
        </w:rPr>
        <w:t>.</w:t>
      </w:r>
    </w:p>
    <w:p w14:paraId="5B000000">
      <w:pPr>
        <w:widowControl w:val="0"/>
        <w:spacing w:after="0" w:before="0"/>
        <w:ind w:firstLine="720"/>
        <w:jc w:val="both"/>
        <w:rPr>
          <w:sz w:val="28"/>
          <w:highlight w:val="white"/>
        </w:rPr>
      </w:pPr>
      <w:r>
        <w:rPr>
          <w:sz w:val="28"/>
        </w:rPr>
        <w:t>2. С</w:t>
      </w:r>
      <w:r>
        <w:rPr>
          <w:sz w:val="28"/>
        </w:rPr>
        <w:t>отрудники Контрольно – счетной палаты</w:t>
      </w:r>
      <w:r>
        <w:rPr>
          <w:sz w:val="28"/>
        </w:rPr>
        <w:t xml:space="preserve"> на основании первичных документов о поступлениях, отраженных в выписке по лицевому счету администратора как невыясненные поступления, поступившие с казначейского счета для осуществления и отражения операций по учету и распределению поступлений, открытого к единому казначейскому счету УФК, в Головном расчетно-кассовом центре Южного Главного управления Банка России (далее – ЕКС) формируют служебную записку на уточнение</w:t>
      </w:r>
      <w:r>
        <w:rPr>
          <w:sz w:val="28"/>
        </w:rPr>
        <w:t xml:space="preserve"> </w:t>
      </w:r>
      <w:r>
        <w:rPr>
          <w:sz w:val="28"/>
        </w:rPr>
        <w:t>поступивших сумм доходов</w:t>
      </w:r>
      <w:r>
        <w:rPr>
          <w:sz w:val="28"/>
          <w:highlight w:val="white"/>
        </w:rPr>
        <w:t xml:space="preserve"> по видам доходов:</w:t>
      </w:r>
    </w:p>
    <w:p w14:paraId="5C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>по кодам вида доходов 2 02 00000 00 0000 000 «Безвозмездные поступления от других бюджетов бюджетной системы Российской Федерации», 2 18 00000 00 0000 000 «Доходы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лет», 2 19 00000 00 0000 000 «Возврат остатков субсидий, субвенций и иных межбюджетных трансфертов, имеющих целевое назначение, прошлых лет»;</w:t>
      </w:r>
    </w:p>
    <w:p w14:paraId="5D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 xml:space="preserve">по </w:t>
      </w:r>
      <w:r>
        <w:rPr>
          <w:sz w:val="28"/>
          <w:highlight w:val="white"/>
        </w:rPr>
        <w:t xml:space="preserve">платежам за пользование бюджетными кредитами, пени по </w:t>
      </w:r>
      <w:r>
        <w:rPr>
          <w:sz w:val="28"/>
        </w:rPr>
        <w:t>бюджетным кредитам,</w:t>
      </w:r>
      <w:r>
        <w:rPr>
          <w:sz w:val="28"/>
        </w:rPr>
        <w:t xml:space="preserve"> </w:t>
      </w:r>
      <w:r>
        <w:rPr>
          <w:sz w:val="28"/>
        </w:rPr>
        <w:t>платежам, полученным от штрафов, неустойки, пени в случае просрочки исполнения поставщиком (подрядчиком, исполнителем) обязательств, предусмотренных муниципальным контрактом, платежам, полученным от возмещения ущерба, а также по остальным невыясненным поступлениям, зачисленным с ЕКС.</w:t>
      </w:r>
    </w:p>
    <w:p w14:paraId="5E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>3. С</w:t>
      </w:r>
      <w:r>
        <w:rPr>
          <w:sz w:val="28"/>
        </w:rPr>
        <w:t>отрудники Контрольно – счетной палаты</w:t>
      </w:r>
      <w:r>
        <w:rPr>
          <w:sz w:val="28"/>
        </w:rPr>
        <w:t xml:space="preserve"> формируют служебную записку об уточнении вида и принадлежности платежа или о его возврате на основании письменного заявления плательщика</w:t>
      </w:r>
      <w:r>
        <w:rPr>
          <w:sz w:val="28"/>
          <w:highlight w:val="white"/>
        </w:rPr>
        <w:t>.</w:t>
      </w:r>
    </w:p>
    <w:p w14:paraId="5F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 xml:space="preserve">4. На основании служебной записки о выяснении (возврате) невыясненных поступлений </w:t>
      </w:r>
      <w:r>
        <w:rPr>
          <w:sz w:val="28"/>
        </w:rPr>
        <w:t>сотрудники Контрольно – счетной палаты</w:t>
      </w:r>
      <w:r>
        <w:rPr>
          <w:sz w:val="28"/>
        </w:rPr>
        <w:t xml:space="preserve"> осуществляют действия, предусмотренные разделом IV настоящего Порядка.</w:t>
      </w:r>
    </w:p>
    <w:p w14:paraId="60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 xml:space="preserve">5. В случае отражения в выписке по лицевому счету администратора невыясненных поступлений и при наличии в полученных из УФК документах информации, позволяющей определить администратора доходов бюджета, </w:t>
      </w:r>
      <w:r>
        <w:rPr>
          <w:sz w:val="28"/>
        </w:rPr>
        <w:t>сотрудники Контрольно – счетной палаты</w:t>
      </w:r>
      <w:r>
        <w:rPr>
          <w:sz w:val="28"/>
        </w:rPr>
        <w:t xml:space="preserve"> </w:t>
      </w:r>
      <w:r>
        <w:rPr>
          <w:sz w:val="28"/>
        </w:rPr>
        <w:t xml:space="preserve">обеспечивают направление распоряжения о совершении казначейского платежа (уточнение) с кода вида доходов 1 17 01050 05 0000 180 «Невыясненные поступления, зачисляемые в бюджеты муниципальных районов», закрепленного за Контрольно – счетной палатой, на код вида доходов 1 17 01050 05 0000 180 «Невыясненные поступления, зачисляемые в бюджеты муниципальных районов» соответствующему администратору доходов бюджета. При этом </w:t>
      </w:r>
      <w:r>
        <w:rPr>
          <w:sz w:val="28"/>
        </w:rPr>
        <w:t>сотрудники Контрольно – счетной палаты</w:t>
      </w:r>
      <w:r>
        <w:rPr>
          <w:sz w:val="28"/>
        </w:rPr>
        <w:t xml:space="preserve"> </w:t>
      </w:r>
      <w:r>
        <w:rPr>
          <w:sz w:val="28"/>
        </w:rPr>
        <w:t>не позднее трех рабочих дней с момента получения документов из УФК обеспечивают направление информационного письма администратору доходов бюджета, которому было направлено распоряжение о совершении казначейского платежа (уточнение), с приложением копии платежного поручения.</w:t>
      </w:r>
    </w:p>
    <w:p w14:paraId="61000000">
      <w:pPr>
        <w:widowControl w:val="0"/>
        <w:spacing w:after="0" w:before="0"/>
        <w:ind w:firstLine="720"/>
        <w:jc w:val="both"/>
        <w:rPr>
          <w:sz w:val="28"/>
        </w:rPr>
      </w:pPr>
      <w:r>
        <w:rPr>
          <w:sz w:val="28"/>
        </w:rPr>
        <w:t xml:space="preserve">6. По запросам на выяснение принадлежности платежа по поступлениям, числящимся в учете УФК по коду вида доходов 100 1 17 01010 01 6000 180 «Невыясненные поступления, зачисляемые в федеральный бюджет», направляемым в Контрольно – счетную палату по электронным каналам связи, </w:t>
      </w:r>
      <w:r>
        <w:rPr>
          <w:sz w:val="28"/>
        </w:rPr>
        <w:t>сотрудники Контрольно – счетной палаты</w:t>
      </w:r>
      <w:r>
        <w:rPr>
          <w:sz w:val="28"/>
        </w:rPr>
        <w:t xml:space="preserve"> формируют служебную записку и распоряжение о совершении казначейского платежа (уточнение) для зачисления данных средств на код вида дохода с указанием кода администратора доходов </w:t>
      </w:r>
      <w:r>
        <w:rPr>
          <w:sz w:val="28"/>
        </w:rPr>
        <w:t>бюджета 910, или распоряжение о совершении казначейского платежа (возврат) на код вида доходов 100 1 17 0101001 6000 180 "Невыясненные поступления, зачисляемые в федеральный бюджет".</w:t>
      </w:r>
    </w:p>
    <w:p w14:paraId="62000000">
      <w:pPr>
        <w:ind/>
        <w:jc w:val="both"/>
        <w:rPr>
          <w:sz w:val="28"/>
        </w:rPr>
      </w:pPr>
    </w:p>
    <w:p w14:paraId="63000000">
      <w:pPr>
        <w:ind/>
        <w:jc w:val="center"/>
        <w:rPr>
          <w:sz w:val="28"/>
        </w:rPr>
      </w:pPr>
      <w:r>
        <w:rPr>
          <w:sz w:val="28"/>
        </w:rPr>
        <w:t>VI. Контроль, осуществляемый</w:t>
      </w:r>
      <w:r>
        <w:rPr>
          <w:sz w:val="28"/>
        </w:rPr>
        <w:t xml:space="preserve"> </w:t>
      </w:r>
      <w:r>
        <w:rPr>
          <w:sz w:val="28"/>
        </w:rPr>
        <w:t>за правильностью исчисления, полнотой и своевременностью осуществления платежей в бюджет</w:t>
      </w:r>
    </w:p>
    <w:p w14:paraId="64000000">
      <w:pPr>
        <w:ind/>
        <w:jc w:val="both"/>
        <w:rPr>
          <w:sz w:val="28"/>
        </w:rPr>
      </w:pPr>
    </w:p>
    <w:p w14:paraId="65000000">
      <w:pPr>
        <w:numPr>
          <w:numId w:val="2"/>
        </w:numPr>
        <w:ind w:firstLine="567" w:left="0"/>
        <w:jc w:val="both"/>
        <w:rPr>
          <w:sz w:val="28"/>
        </w:rPr>
      </w:pPr>
      <w:r>
        <w:rPr>
          <w:sz w:val="28"/>
        </w:rPr>
        <w:t>Контрольно – счетная палата муниципального образования Кавказский район</w:t>
      </w:r>
      <w:r>
        <w:rPr>
          <w:sz w:val="28"/>
        </w:rPr>
        <w:t xml:space="preserve"> проверяет соответствие суммы, уплаченной плательщиком, сумме, указанной в документах, являющихся основанием для осуществления платежа.</w:t>
      </w:r>
    </w:p>
    <w:p w14:paraId="66000000">
      <w:pPr>
        <w:ind w:firstLine="567"/>
        <w:jc w:val="both"/>
        <w:rPr>
          <w:sz w:val="28"/>
        </w:rPr>
      </w:pPr>
      <w:r>
        <w:rPr>
          <w:sz w:val="28"/>
        </w:rPr>
        <w:t>2. В случае неисполнения плательщиком в добровольном порядке частично или в полном объеме обязанности по уплате платежей в бюджет,   осуществляет сбор документов, подтверждающих факт неуплаты (частичной неуплаты) подлежащей уплате суммы и принимаются предусмотренные законодательством Российской Федерации меры для взыскания задолженности по платежам в бюджет</w:t>
      </w:r>
      <w:r>
        <w:rPr>
          <w:sz w:val="28"/>
        </w:rPr>
        <w:t>.</w:t>
      </w:r>
    </w:p>
    <w:p w14:paraId="67000000">
      <w:pPr>
        <w:ind w:firstLine="567"/>
        <w:jc w:val="both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. В случае превышения суммы платежа, уплаченной плательщиком, над начисленной суммой, возврат излишне уплаченной суммы осуществляется в порядке, определенном разделом </w:t>
      </w:r>
      <w:r>
        <w:rPr>
          <w:sz w:val="28"/>
        </w:rPr>
        <w:t>VII</w:t>
      </w:r>
      <w:r>
        <w:rPr>
          <w:sz w:val="28"/>
        </w:rPr>
        <w:t xml:space="preserve"> настоящего Порядка.</w:t>
      </w:r>
    </w:p>
    <w:p w14:paraId="68000000">
      <w:pPr>
        <w:ind/>
        <w:jc w:val="both"/>
        <w:rPr>
          <w:sz w:val="28"/>
        </w:rPr>
      </w:pPr>
    </w:p>
    <w:p w14:paraId="69000000">
      <w:pPr>
        <w:ind w:firstLine="0" w:left="708"/>
        <w:jc w:val="center"/>
        <w:rPr>
          <w:sz w:val="28"/>
        </w:rPr>
      </w:pPr>
      <w:r>
        <w:rPr>
          <w:sz w:val="28"/>
        </w:rPr>
        <w:t>VII. Порядок рассмотрения заявлений плательщиков о возврате излишне уплаченных сумм</w:t>
      </w:r>
    </w:p>
    <w:p w14:paraId="6A000000">
      <w:pPr>
        <w:ind w:firstLine="0" w:left="708"/>
        <w:rPr>
          <w:sz w:val="28"/>
        </w:rPr>
      </w:pPr>
    </w:p>
    <w:p w14:paraId="6B000000">
      <w:pPr>
        <w:numPr>
          <w:ilvl w:val="0"/>
          <w:numId w:val="3"/>
        </w:numPr>
        <w:tabs>
          <w:tab w:leader="none" w:pos="1068" w:val="clear"/>
        </w:tabs>
        <w:ind w:firstLine="708" w:left="0"/>
        <w:jc w:val="both"/>
        <w:rPr>
          <w:sz w:val="28"/>
        </w:rPr>
      </w:pPr>
      <w:r>
        <w:rPr>
          <w:sz w:val="28"/>
        </w:rPr>
        <w:t>По факту поступления денежных средств, зачисленных с ЕКС, по подгруппам доходов 111 «доходы от использования имущества, находящегося в государственной и муниципальной собственности»,  116 «штрафы, санкции, возмещение ущерба», 117 «прочие неналоговые доходы», возврат переплаченных сумм производится по предоставлению плательщиком следующих документов:</w:t>
      </w:r>
    </w:p>
    <w:p w14:paraId="6C000000">
      <w:pPr>
        <w:numPr>
          <w:ilvl w:val="0"/>
          <w:numId w:val="4"/>
        </w:numPr>
        <w:tabs>
          <w:tab w:leader="none" w:pos="768" w:val="clear"/>
        </w:tabs>
        <w:ind w:firstLine="709" w:left="0"/>
        <w:jc w:val="both"/>
        <w:rPr>
          <w:sz w:val="28"/>
        </w:rPr>
      </w:pPr>
      <w:r>
        <w:rPr>
          <w:sz w:val="28"/>
        </w:rPr>
        <w:t>заявления плательщика в письменном виде в произвольной форме о</w:t>
      </w:r>
      <w:r>
        <w:rPr>
          <w:sz w:val="28"/>
        </w:rPr>
        <w:t xml:space="preserve"> </w:t>
      </w:r>
      <w:r>
        <w:rPr>
          <w:sz w:val="28"/>
        </w:rPr>
        <w:t>возврате излишне уплаченной суммы (для юридических лиц – на бланке или с угловым штампом организации и подписью руководителя, заверенной гербовой печатью организации), содержащего следующую организацию:</w:t>
      </w:r>
    </w:p>
    <w:p w14:paraId="6D000000">
      <w:pPr>
        <w:tabs>
          <w:tab w:leader="none" w:pos="851" w:val="left"/>
        </w:tabs>
        <w:ind w:firstLine="709"/>
        <w:jc w:val="both"/>
        <w:rPr>
          <w:sz w:val="28"/>
        </w:rPr>
      </w:pPr>
      <w:r>
        <w:rPr>
          <w:sz w:val="28"/>
        </w:rPr>
        <w:t>фирменное (полное официальное) и сокращенное наименование организации, номер корреспондентского счета, БИК, ИНН, КПП (для юридических лиц);</w:t>
      </w:r>
    </w:p>
    <w:p w14:paraId="6E000000">
      <w:pPr>
        <w:tabs>
          <w:tab w:leader="none" w:pos="851" w:val="left"/>
        </w:tabs>
        <w:ind w:firstLine="709"/>
        <w:jc w:val="both"/>
        <w:rPr>
          <w:sz w:val="28"/>
        </w:rPr>
      </w:pPr>
      <w:r>
        <w:rPr>
          <w:sz w:val="28"/>
        </w:rPr>
        <w:t>причины излишней уплаты, об ошибочности указания кода классификации доходов Российской Федерации;</w:t>
      </w:r>
    </w:p>
    <w:p w14:paraId="6F000000">
      <w:pPr>
        <w:tabs>
          <w:tab w:leader="none" w:pos="851" w:val="left"/>
        </w:tabs>
        <w:ind w:firstLine="709"/>
        <w:jc w:val="both"/>
        <w:rPr>
          <w:sz w:val="28"/>
        </w:rPr>
      </w:pPr>
      <w:r>
        <w:rPr>
          <w:sz w:val="28"/>
        </w:rPr>
        <w:t>сумму возврата прописью и цифрами  (в рублях, копейках);</w:t>
      </w:r>
    </w:p>
    <w:p w14:paraId="70000000">
      <w:pPr>
        <w:tabs>
          <w:tab w:leader="none" w:pos="851" w:val="left"/>
        </w:tabs>
        <w:ind w:firstLine="709"/>
        <w:jc w:val="both"/>
        <w:rPr>
          <w:sz w:val="28"/>
        </w:rPr>
      </w:pPr>
      <w:r>
        <w:rPr>
          <w:sz w:val="28"/>
        </w:rPr>
        <w:t>код бюджетной классификации Российской Федерации;</w:t>
      </w:r>
    </w:p>
    <w:p w14:paraId="71000000">
      <w:pPr>
        <w:tabs>
          <w:tab w:leader="none" w:pos="851" w:val="left"/>
        </w:tabs>
        <w:ind w:firstLine="709"/>
        <w:jc w:val="both"/>
        <w:rPr>
          <w:sz w:val="28"/>
        </w:rPr>
      </w:pPr>
      <w:r>
        <w:rPr>
          <w:sz w:val="28"/>
        </w:rPr>
        <w:t>назначение платежа;</w:t>
      </w:r>
    </w:p>
    <w:p w14:paraId="72000000">
      <w:pPr>
        <w:tabs>
          <w:tab w:leader="none" w:pos="851" w:val="left"/>
        </w:tabs>
        <w:ind w:firstLine="709"/>
        <w:jc w:val="both"/>
        <w:rPr>
          <w:sz w:val="28"/>
        </w:rPr>
      </w:pPr>
      <w:r>
        <w:rPr>
          <w:sz w:val="28"/>
        </w:rPr>
        <w:t>код общероссийского классификатора территорий муниципальных образований ОКТМО;</w:t>
      </w:r>
    </w:p>
    <w:p w14:paraId="73000000">
      <w:pPr>
        <w:numPr>
          <w:ilvl w:val="0"/>
          <w:numId w:val="4"/>
        </w:numPr>
        <w:tabs>
          <w:tab w:leader="none" w:pos="851" w:val="left"/>
        </w:tabs>
        <w:ind w:firstLine="709" w:left="0"/>
        <w:jc w:val="both"/>
        <w:rPr>
          <w:sz w:val="28"/>
        </w:rPr>
      </w:pPr>
      <w:r>
        <w:rPr>
          <w:sz w:val="28"/>
        </w:rPr>
        <w:t>подлинных расчетных документов об уплате переплаченной суммы (квитанций) или их копий, заверенных в установленном порядке, с отметкой банка о перечислении средств с расчетного счета плательщика в бюджет (штамп банка с указанием даты проведения операции и с подписью ответственного лица банка);</w:t>
      </w:r>
    </w:p>
    <w:p w14:paraId="74000000">
      <w:pPr>
        <w:numPr>
          <w:ilvl w:val="0"/>
          <w:numId w:val="4"/>
        </w:numPr>
        <w:tabs>
          <w:tab w:leader="none" w:pos="851" w:val="left"/>
        </w:tabs>
        <w:ind w:firstLine="709" w:left="0"/>
        <w:jc w:val="both"/>
        <w:rPr>
          <w:sz w:val="28"/>
        </w:rPr>
      </w:pPr>
      <w:r>
        <w:rPr>
          <w:sz w:val="28"/>
        </w:rPr>
        <w:t>копии документа, удостоверяющего личность (для физических лиц);</w:t>
      </w:r>
    </w:p>
    <w:p w14:paraId="75000000">
      <w:pPr>
        <w:numPr>
          <w:ilvl w:val="0"/>
          <w:numId w:val="4"/>
        </w:numPr>
        <w:tabs>
          <w:tab w:leader="none" w:pos="851" w:val="left"/>
        </w:tabs>
        <w:ind w:firstLine="709" w:left="0"/>
        <w:jc w:val="both"/>
        <w:rPr>
          <w:sz w:val="28"/>
        </w:rPr>
      </w:pPr>
      <w:r>
        <w:rPr>
          <w:sz w:val="28"/>
        </w:rPr>
        <w:t>копии документа об открытии лицевого счета администратора, на который будет производиться возврат физическому лицу).</w:t>
      </w:r>
    </w:p>
    <w:p w14:paraId="76000000">
      <w:pPr>
        <w:tabs>
          <w:tab w:leader="none" w:pos="0" w:val="left"/>
        </w:tabs>
        <w:ind/>
        <w:rPr>
          <w:sz w:val="28"/>
        </w:rPr>
      </w:pPr>
    </w:p>
    <w:p w14:paraId="77000000">
      <w:pPr>
        <w:ind w:firstLine="0" w:left="708"/>
        <w:jc w:val="center"/>
        <w:rPr>
          <w:sz w:val="28"/>
        </w:rPr>
      </w:pPr>
      <w:r>
        <w:rPr>
          <w:sz w:val="28"/>
        </w:rPr>
        <w:t>VIII. Порядок заполнения (составления) и отражения в бюджетном учете первичных документов по администрируемым доходам бюджетов</w:t>
      </w:r>
    </w:p>
    <w:p w14:paraId="78000000">
      <w:pPr>
        <w:ind/>
        <w:jc w:val="both"/>
        <w:rPr>
          <w:sz w:val="28"/>
        </w:rPr>
      </w:pPr>
    </w:p>
    <w:p w14:paraId="79000000">
      <w:pPr>
        <w:ind w:firstLine="900"/>
        <w:jc w:val="both"/>
        <w:rPr>
          <w:sz w:val="28"/>
        </w:rPr>
      </w:pPr>
      <w:r>
        <w:rPr>
          <w:sz w:val="28"/>
        </w:rPr>
        <w:t xml:space="preserve">Бюджетный учет </w:t>
      </w:r>
      <w:r>
        <w:rPr>
          <w:sz w:val="28"/>
        </w:rPr>
        <w:t>доходов</w:t>
      </w:r>
      <w:r>
        <w:rPr>
          <w:sz w:val="28"/>
        </w:rPr>
        <w:t xml:space="preserve"> бюджета осуществляется в соответствии с БК РФ</w:t>
      </w:r>
      <w:r>
        <w:rPr>
          <w:sz w:val="28"/>
        </w:rPr>
        <w:t>, Ф</w:t>
      </w:r>
      <w:r>
        <w:rPr>
          <w:sz w:val="28"/>
        </w:rPr>
        <w:t>едеральным законом о</w:t>
      </w:r>
      <w:r>
        <w:rPr>
          <w:sz w:val="28"/>
        </w:rPr>
        <w:t xml:space="preserve">т </w:t>
      </w:r>
      <w:r>
        <w:rPr>
          <w:sz w:val="28"/>
        </w:rPr>
        <w:t>6</w:t>
      </w:r>
      <w:r>
        <w:rPr>
          <w:sz w:val="28"/>
        </w:rPr>
        <w:t xml:space="preserve"> </w:t>
      </w:r>
      <w:r>
        <w:rPr>
          <w:sz w:val="28"/>
        </w:rPr>
        <w:t>декабря</w:t>
      </w:r>
      <w:r>
        <w:rPr>
          <w:sz w:val="28"/>
        </w:rPr>
        <w:t xml:space="preserve"> </w:t>
      </w:r>
      <w:r>
        <w:rPr>
          <w:sz w:val="28"/>
        </w:rPr>
        <w:t>2011</w:t>
      </w:r>
      <w:r>
        <w:rPr>
          <w:sz w:val="28"/>
        </w:rPr>
        <w:t xml:space="preserve"> года № </w:t>
      </w:r>
      <w:r>
        <w:rPr>
          <w:sz w:val="28"/>
        </w:rPr>
        <w:t>402</w:t>
      </w:r>
      <w:r>
        <w:rPr>
          <w:sz w:val="28"/>
        </w:rPr>
        <w:t>-ФЗ «</w:t>
      </w:r>
      <w:r>
        <w:rPr>
          <w:sz w:val="28"/>
        </w:rPr>
        <w:t xml:space="preserve">О бухгалтерском </w:t>
      </w:r>
      <w:r>
        <w:rPr>
          <w:sz w:val="28"/>
        </w:rPr>
        <w:t>учете»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>нормативными правовыми актами</w:t>
      </w:r>
      <w:r>
        <w:rPr>
          <w:sz w:val="28"/>
        </w:rPr>
        <w:t xml:space="preserve"> Министерства финансов Российской Федерации, регулирующими данные вопросы. </w:t>
      </w:r>
    </w:p>
    <w:p w14:paraId="7A000000">
      <w:pPr>
        <w:ind w:firstLine="708"/>
        <w:jc w:val="both"/>
        <w:rPr>
          <w:sz w:val="28"/>
        </w:rPr>
      </w:pPr>
    </w:p>
    <w:p w14:paraId="7B000000">
      <w:pPr>
        <w:ind/>
        <w:jc w:val="center"/>
        <w:rPr>
          <w:sz w:val="28"/>
        </w:rPr>
      </w:pPr>
      <w:r>
        <w:rPr>
          <w:sz w:val="28"/>
        </w:rPr>
        <w:t>IХ. Порядок и сроки сверки данных бюджетного учета</w:t>
      </w:r>
    </w:p>
    <w:p w14:paraId="7C000000">
      <w:pPr>
        <w:ind/>
        <w:jc w:val="center"/>
        <w:rPr>
          <w:sz w:val="28"/>
        </w:rPr>
      </w:pPr>
      <w:r>
        <w:rPr>
          <w:sz w:val="28"/>
        </w:rPr>
        <w:t>администрируемых доходов бюджетов</w:t>
      </w:r>
    </w:p>
    <w:p w14:paraId="7D000000">
      <w:pPr>
        <w:ind/>
        <w:jc w:val="both"/>
        <w:rPr>
          <w:sz w:val="28"/>
        </w:rPr>
      </w:pPr>
    </w:p>
    <w:p w14:paraId="7E000000">
      <w:pPr>
        <w:ind w:firstLine="708"/>
        <w:jc w:val="both"/>
        <w:rPr>
          <w:sz w:val="28"/>
        </w:rPr>
      </w:pPr>
      <w:r>
        <w:rPr>
          <w:sz w:val="28"/>
        </w:rPr>
        <w:t xml:space="preserve">1. Сверка данных бюджетного учета с данными УФК о поступлениях, сформированных нарастающим итогом с начала года на первое число текущего месяца, проводится специалистами МКУ «Централизованная бухгалтерия  администрации муниципального образования Кавказский район» </w:t>
      </w:r>
      <w:r>
        <w:rPr>
          <w:sz w:val="28"/>
        </w:rPr>
        <w:t>на основании отчета о состоянии лицевого счета администратора</w:t>
      </w:r>
      <w:r>
        <w:rPr>
          <w:sz w:val="28"/>
        </w:rPr>
        <w:t>.</w:t>
      </w:r>
    </w:p>
    <w:p w14:paraId="7F000000">
      <w:pPr>
        <w:ind w:firstLine="708"/>
        <w:jc w:val="both"/>
        <w:rPr>
          <w:sz w:val="28"/>
        </w:rPr>
      </w:pPr>
      <w:r>
        <w:rPr>
          <w:sz w:val="28"/>
        </w:rPr>
        <w:t>2.  В случае выявления расхождений с данными УФК, устанавливаются причины указанного расхождения и незамедлительно принимаются меры по его устранению.</w:t>
      </w:r>
    </w:p>
    <w:p w14:paraId="80000000">
      <w:pPr>
        <w:ind w:firstLine="708"/>
        <w:jc w:val="both"/>
        <w:rPr>
          <w:sz w:val="28"/>
        </w:rPr>
      </w:pPr>
      <w:r>
        <w:rPr>
          <w:sz w:val="28"/>
        </w:rPr>
        <w:t xml:space="preserve">3. Специалистами МКУ «Централизованная бухгалтерия  администрации муниципального образования Кавказский район» составляется бюджетная отчетность главного администратора доходов бюджета муниципального </w:t>
      </w:r>
      <w:r>
        <w:rPr>
          <w:sz w:val="28"/>
        </w:rPr>
        <w:t>образования по формам в соответствии с требованиями Министерства финансов Российской Федерации в сроки,</w:t>
      </w:r>
      <w:r>
        <w:rPr>
          <w:sz w:val="28"/>
        </w:rPr>
        <w:t xml:space="preserve"> установленные приказом финансового управления для представления отчетности.</w:t>
      </w:r>
    </w:p>
    <w:p w14:paraId="81000000">
      <w:pPr>
        <w:ind w:firstLine="0" w:left="1416"/>
        <w:rPr>
          <w:sz w:val="28"/>
        </w:rPr>
      </w:pPr>
    </w:p>
    <w:p w14:paraId="82000000"/>
    <w:p w14:paraId="83000000"/>
    <w:p w14:paraId="84000000"/>
    <w:p w14:paraId="85000000">
      <w:pPr>
        <w:tabs>
          <w:tab w:leader="none" w:pos="7618" w:val="left"/>
        </w:tabs>
        <w:ind w:firstLine="0" w:left="5"/>
        <w:rPr>
          <w:sz w:val="28"/>
        </w:rPr>
      </w:pPr>
      <w:r>
        <w:rPr>
          <w:sz w:val="28"/>
        </w:rPr>
        <w:t>Заместитель председателя</w:t>
      </w:r>
    </w:p>
    <w:p w14:paraId="86000000">
      <w:pPr>
        <w:tabs>
          <w:tab w:leader="none" w:pos="7618" w:val="left"/>
        </w:tabs>
        <w:ind w:firstLine="0" w:left="5"/>
        <w:rPr>
          <w:sz w:val="28"/>
        </w:rPr>
      </w:pPr>
      <w:r>
        <w:rPr>
          <w:sz w:val="28"/>
        </w:rPr>
        <w:t>Контрольно-счетной палаты</w:t>
      </w:r>
    </w:p>
    <w:p w14:paraId="87000000">
      <w:pPr>
        <w:tabs>
          <w:tab w:leader="none" w:pos="7618" w:val="left"/>
        </w:tabs>
        <w:ind w:firstLine="0" w:left="5"/>
        <w:rPr>
          <w:sz w:val="28"/>
        </w:rPr>
      </w:pPr>
      <w:r>
        <w:rPr>
          <w:sz w:val="28"/>
        </w:rPr>
        <w:t>муниципального образования</w:t>
      </w:r>
    </w:p>
    <w:p w14:paraId="88000000">
      <w:pPr>
        <w:rPr>
          <w:sz w:val="28"/>
        </w:rPr>
      </w:pPr>
      <w:r>
        <w:rPr>
          <w:sz w:val="28"/>
        </w:rPr>
        <w:t xml:space="preserve">Кавказский район                                               </w:t>
      </w:r>
      <w:r>
        <w:rPr>
          <w:sz w:val="28"/>
        </w:rPr>
        <w:t xml:space="preserve">                                Е.Д. Шатохина</w:t>
      </w:r>
    </w:p>
    <w:p w14:paraId="89000000">
      <w:pPr>
        <w:rPr>
          <w:sz w:val="28"/>
        </w:rPr>
      </w:pPr>
    </w:p>
    <w:p w14:paraId="8A000000">
      <w:pPr>
        <w:rPr>
          <w:sz w:val="28"/>
        </w:rPr>
      </w:pPr>
    </w:p>
    <w:p w14:paraId="8B000000">
      <w:pPr>
        <w:rPr>
          <w:sz w:val="28"/>
        </w:rPr>
      </w:pPr>
    </w:p>
    <w:p w14:paraId="8C000000">
      <w:pPr>
        <w:rPr>
          <w:sz w:val="28"/>
        </w:rPr>
      </w:pPr>
    </w:p>
    <w:p w14:paraId="8D000000">
      <w:pPr>
        <w:rPr>
          <w:sz w:val="28"/>
        </w:rPr>
      </w:pPr>
    </w:p>
    <w:p w14:paraId="8E000000">
      <w:pPr>
        <w:rPr>
          <w:sz w:val="28"/>
        </w:rPr>
      </w:pPr>
    </w:p>
    <w:p w14:paraId="8F000000">
      <w:pPr>
        <w:rPr>
          <w:sz w:val="28"/>
        </w:rPr>
      </w:pPr>
    </w:p>
    <w:p w14:paraId="90000000">
      <w:pPr>
        <w:rPr>
          <w:sz w:val="28"/>
        </w:rPr>
      </w:pPr>
    </w:p>
    <w:p w14:paraId="91000000">
      <w:pPr>
        <w:rPr>
          <w:sz w:val="28"/>
        </w:rPr>
      </w:pPr>
    </w:p>
    <w:p w14:paraId="92000000">
      <w:pPr>
        <w:rPr>
          <w:sz w:val="28"/>
        </w:rPr>
      </w:pPr>
    </w:p>
    <w:p w14:paraId="93000000">
      <w:pPr>
        <w:rPr>
          <w:sz w:val="28"/>
        </w:rPr>
      </w:pPr>
    </w:p>
    <w:p w14:paraId="94000000">
      <w:pPr>
        <w:rPr>
          <w:sz w:val="28"/>
        </w:rPr>
      </w:pPr>
    </w:p>
    <w:p w14:paraId="95000000">
      <w:pPr>
        <w:rPr>
          <w:sz w:val="28"/>
        </w:rPr>
      </w:pPr>
    </w:p>
    <w:p w14:paraId="96000000">
      <w:pPr>
        <w:rPr>
          <w:sz w:val="28"/>
        </w:rPr>
      </w:pPr>
    </w:p>
    <w:p w14:paraId="97000000">
      <w:pPr>
        <w:rPr>
          <w:sz w:val="24"/>
        </w:rPr>
      </w:pPr>
      <w:r>
        <w:rPr>
          <w:sz w:val="24"/>
        </w:rPr>
        <w:t>Ознакомлен:</w:t>
      </w:r>
    </w:p>
    <w:p w14:paraId="98000000">
      <w:pPr>
        <w:rPr>
          <w:sz w:val="28"/>
        </w:rPr>
      </w:pPr>
    </w:p>
    <w:sectPr>
      <w:headerReference r:id="rId1" w:type="default"/>
      <w:pgSz w:h="16838" w:w="11906"/>
      <w:pgMar w:bottom="1134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</w:pPr>
  </w:p>
</w:hdr>
</file>

<file path=word/header2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2000000">
    <w:pPr>
      <w:pStyle w:val="Style_2"/>
    </w:pPr>
  </w:p>
</w:hdr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1">
    <w:lvl w:ilvl="0">
      <w:start w:val="1"/>
      <w:numFmt w:val="decimal"/>
      <w:lvlText w:val="%1."/>
      <w:pPr>
        <w:ind w:hanging="360" w:left="720"/>
      </w:pPr>
    </w:lvl>
    <w:lvl w:ilvl="1">
      <w:start w:val="1"/>
      <w:numFmt w:val="lowerLetter"/>
      <w:lvlText w:val="%2.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360" w:left="2160"/>
      </w:pPr>
    </w:lvl>
    <w:lvl w:ilvl="3">
      <w:start w:val="1"/>
      <w:numFmt w:val="decimal"/>
      <w:lvlText w:val="%4."/>
      <w:pPr>
        <w:ind w:hanging="360" w:left="2880"/>
      </w:pPr>
    </w:lvl>
    <w:lvl w:ilvl="4">
      <w:start w:val="1"/>
      <w:numFmt w:val="lowerLetter"/>
      <w:lvlText w:val="%5.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360" w:left="4320"/>
      </w:pPr>
    </w:lvl>
    <w:lvl w:ilvl="6">
      <w:start w:val="1"/>
      <w:numFmt w:val="decimal"/>
      <w:lvlText w:val="%7."/>
      <w:pPr>
        <w:ind w:hanging="360" w:left="5040"/>
      </w:pPr>
    </w:lvl>
    <w:lvl w:ilvl="7">
      <w:start w:val="1"/>
      <w:numFmt w:val="lowerLetter"/>
      <w:lvlText w:val="%8.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360" w:left="64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leader="none" w:pos="1068" w:val="left"/>
        </w:tabs>
        <w:ind w:hanging="360" w:left="1068"/>
      </w:pPr>
    </w:lvl>
    <w:lvl w:ilvl="1">
      <w:start w:val="1"/>
      <w:numFmt w:val="lowerLetter"/>
      <w:lvlText w:val="%2."/>
      <w:lvlJc w:val="left"/>
      <w:pPr>
        <w:tabs>
          <w:tab w:leader="none" w:pos="1788" w:val="left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leader="none" w:pos="2508" w:val="left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leader="none" w:pos="3228" w:val="left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leader="none" w:pos="3948" w:val="left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leader="none" w:pos="4668" w:val="left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leader="none" w:pos="5388" w:val="left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leader="none" w:pos="6108" w:val="left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leader="none" w:pos="6828" w:val="left"/>
        </w:tabs>
        <w:ind w:hanging="180" w:left="6828"/>
      </w:pPr>
    </w:lvl>
  </w:abstractNum>
  <w:abstractNum w:abstractNumId="3">
    <w:lvl w:ilvl="0">
      <w:start w:val="1"/>
      <w:numFmt w:val="decimal"/>
      <w:lvlText w:val="%1)"/>
      <w:lvlJc w:val="left"/>
      <w:pPr>
        <w:tabs>
          <w:tab w:leader="none" w:pos="768" w:val="left"/>
        </w:tabs>
        <w:ind w:hanging="408" w:left="768"/>
      </w:pPr>
    </w:lvl>
    <w:lvl w:ilvl="1">
      <w:start w:val="1"/>
      <w:numFmt w:val="lowerLetter"/>
      <w:lvlText w:val="%2."/>
      <w:lvlJc w:val="left"/>
      <w:pPr>
        <w:tabs>
          <w:tab w:leader="none" w:pos="1440" w:val="left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leader="none" w:pos="2160" w:val="left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leader="none" w:pos="2880" w:val="left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leader="none" w:pos="3600" w:val="left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leader="none" w:pos="4320" w:val="left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leader="none" w:pos="5040" w:val="left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leader="none" w:pos="5760" w:val="left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leader="none" w:pos="6480" w:val="left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</w:pPr>
  </w:style>
  <w:style w:styleId="Style_9_ch" w:type="character">
    <w:name w:val="toc 6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heading 3"/>
    <w:next w:val="Style_5"/>
    <w:link w:val="Style_11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1_ch" w:type="character">
    <w:name w:val="heading 3"/>
    <w:link w:val="Style_11"/>
    <w:rPr>
      <w:rFonts w:ascii="XO Thames" w:hAnsi="XO Thames"/>
      <w:b w:val="1"/>
      <w:i w:val="1"/>
      <w:color w:val="000000"/>
    </w:rPr>
  </w:style>
  <w:style w:styleId="Style_12" w:type="paragraph">
    <w:name w:val="Balloon Text"/>
    <w:basedOn w:val="Style_5"/>
    <w:link w:val="Style_12_ch"/>
    <w:rPr>
      <w:rFonts w:ascii="Tahoma" w:hAnsi="Tahoma"/>
      <w:sz w:val="16"/>
    </w:rPr>
  </w:style>
  <w:style w:styleId="Style_12_ch" w:type="character">
    <w:name w:val="Balloon Text"/>
    <w:basedOn w:val="Style_5_ch"/>
    <w:link w:val="Style_12"/>
    <w:rPr>
      <w:rFonts w:ascii="Tahoma" w:hAnsi="Tahoma"/>
      <w:sz w:val="16"/>
    </w:rPr>
  </w:style>
  <w:style w:styleId="Style_3" w:type="paragraph">
    <w:name w:val="ConsNonformat"/>
    <w:link w:val="Style_3_ch"/>
    <w:pPr>
      <w:widowControl w:val="0"/>
      <w:ind w:right="19772"/>
    </w:pPr>
    <w:rPr>
      <w:rFonts w:ascii="Courier New" w:hAnsi="Courier New"/>
    </w:rPr>
  </w:style>
  <w:style w:styleId="Style_3_ch" w:type="character">
    <w:name w:val="ConsNonformat"/>
    <w:link w:val="Style_3"/>
    <w:rPr>
      <w:rFonts w:ascii="Courier New" w:hAnsi="Courier New"/>
    </w:rPr>
  </w:style>
  <w:style w:styleId="Style_13" w:type="paragraph">
    <w:name w:val="toc 3"/>
    <w:next w:val="Style_5"/>
    <w:link w:val="Style_13_ch"/>
    <w:uiPriority w:val="39"/>
    <w:pPr>
      <w:ind w:firstLine="0" w:left="400"/>
    </w:pPr>
  </w:style>
  <w:style w:styleId="Style_13_ch" w:type="character">
    <w:name w:val="toc 3"/>
    <w:link w:val="Style_13"/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4_ch" w:type="character">
    <w:name w:val="heading 5"/>
    <w:link w:val="Style_14"/>
    <w:rPr>
      <w:rFonts w:ascii="XO Thames" w:hAnsi="XO Thames"/>
      <w:b w:val="1"/>
      <w:color w:val="000000"/>
      <w:sz w:val="22"/>
    </w:rPr>
  </w:style>
  <w:style w:styleId="Style_15" w:type="paragraph">
    <w:name w:val="heading 1"/>
    <w:basedOn w:val="Style_5"/>
    <w:next w:val="Style_5"/>
    <w:link w:val="Style_15_ch"/>
    <w:uiPriority w:val="9"/>
    <w:qFormat/>
    <w:pPr>
      <w:spacing w:after="108" w:before="108"/>
      <w:ind/>
      <w:jc w:val="center"/>
      <w:outlineLvl w:val="0"/>
    </w:pPr>
    <w:rPr>
      <w:rFonts w:ascii="Arial" w:hAnsi="Arial"/>
      <w:b w:val="1"/>
      <w:color w:val="26282F"/>
    </w:rPr>
  </w:style>
  <w:style w:styleId="Style_15_ch" w:type="character">
    <w:name w:val="heading 1"/>
    <w:basedOn w:val="Style_5_ch"/>
    <w:link w:val="Style_15"/>
    <w:rPr>
      <w:rFonts w:ascii="Arial" w:hAnsi="Arial"/>
      <w:b w:val="1"/>
      <w:color w:val="26282F"/>
    </w:rPr>
  </w:style>
  <w:style w:styleId="Style_1" w:type="paragraph">
    <w:name w:val="page number"/>
    <w:basedOn w:val="Style_8"/>
    <w:link w:val="Style_1_ch"/>
  </w:style>
  <w:style w:styleId="Style_1_ch" w:type="character">
    <w:name w:val="page number"/>
    <w:basedOn w:val="Style_8_ch"/>
    <w:link w:val="Style_1"/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/>
      <w:jc w:val="left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</w:pPr>
    <w:rPr>
      <w:rFonts w:ascii="XO Thames" w:hAnsi="XO Thames"/>
      <w:b w:val="1"/>
    </w:rPr>
  </w:style>
  <w:style w:styleId="Style_18_ch" w:type="character">
    <w:name w:val="toc 1"/>
    <w:link w:val="Style_18"/>
    <w:rPr>
      <w:rFonts w:ascii="XO Thames" w:hAnsi="XO Thames"/>
      <w:b w:val="1"/>
    </w:rPr>
  </w:style>
  <w:style w:styleId="Style_19" w:type="paragraph">
    <w:name w:val="Header and Footer"/>
    <w:link w:val="Style_19_ch"/>
    <w:pPr>
      <w:spacing w:line="360" w:lineRule="auto"/>
      <w:ind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5"/>
    <w:link w:val="Style_20_ch"/>
    <w:uiPriority w:val="39"/>
    <w:pPr>
      <w:ind w:firstLine="0" w:left="1600"/>
    </w:pPr>
  </w:style>
  <w:style w:styleId="Style_20_ch" w:type="character">
    <w:name w:val="toc 9"/>
    <w:link w:val="Style_20"/>
  </w:style>
  <w:style w:styleId="Style_21" w:type="paragraph">
    <w:name w:val="toc 8"/>
    <w:next w:val="Style_5"/>
    <w:link w:val="Style_21_ch"/>
    <w:uiPriority w:val="39"/>
    <w:pPr>
      <w:ind w:firstLine="0" w:left="1400"/>
    </w:pPr>
  </w:style>
  <w:style w:styleId="Style_21_ch" w:type="character">
    <w:name w:val="toc 8"/>
    <w:link w:val="Style_21"/>
  </w:style>
  <w:style w:styleId="Style_22" w:type="paragraph">
    <w:name w:val="toc 5"/>
    <w:next w:val="Style_5"/>
    <w:link w:val="Style_22_ch"/>
    <w:uiPriority w:val="39"/>
    <w:pPr>
      <w:ind w:firstLine="0" w:left="800"/>
    </w:pPr>
  </w:style>
  <w:style w:styleId="Style_22_ch" w:type="character">
    <w:name w:val="toc 5"/>
    <w:link w:val="Style_22"/>
  </w:style>
  <w:style w:styleId="Style_23" w:type="paragraph">
    <w:name w:val="Subtitle"/>
    <w:next w:val="Style_5"/>
    <w:link w:val="Style_23_ch"/>
    <w:uiPriority w:val="11"/>
    <w:qFormat/>
    <w:rPr>
      <w:rFonts w:ascii="XO Thames" w:hAnsi="XO Thames"/>
      <w:i w:val="1"/>
      <w:color w:val="616161"/>
      <w:sz w:val="24"/>
    </w:rPr>
  </w:style>
  <w:style w:styleId="Style_23_ch" w:type="character">
    <w:name w:val="Subtitle"/>
    <w:link w:val="Style_23"/>
    <w:rPr>
      <w:rFonts w:ascii="XO Thames" w:hAnsi="XO Thames"/>
      <w:i w:val="1"/>
      <w:color w:val="616161"/>
      <w:sz w:val="24"/>
    </w:rPr>
  </w:style>
  <w:style w:styleId="Style_24" w:type="paragraph">
    <w:name w:val="toc 10"/>
    <w:next w:val="Style_5"/>
    <w:link w:val="Style_24_ch"/>
    <w:uiPriority w:val="39"/>
    <w:pPr>
      <w:ind w:firstLine="0" w:left="1800"/>
    </w:pPr>
  </w:style>
  <w:style w:styleId="Style_24_ch" w:type="character">
    <w:name w:val="toc 10"/>
    <w:link w:val="Style_24"/>
  </w:style>
  <w:style w:styleId="Style_25" w:type="paragraph">
    <w:basedOn w:val="Style_5"/>
    <w:link w:val="Style_25_ch"/>
    <w:semiHidden w:val="1"/>
    <w:unhideWhenUsed w:val="1"/>
    <w:pPr>
      <w:widowControl w:val="0"/>
      <w:ind/>
      <w:jc w:val="both"/>
    </w:pPr>
    <w:rPr>
      <w:sz w:val="28"/>
    </w:rPr>
  </w:style>
  <w:style w:styleId="Style_25_ch" w:type="character">
    <w:basedOn w:val="Style_5_ch"/>
    <w:link w:val="Style_25"/>
    <w:semiHidden w:val="1"/>
    <w:unhideWhenUsed w:val="1"/>
    <w:rPr>
      <w:sz w:val="28"/>
    </w:rPr>
  </w:style>
  <w:style w:styleId="Style_26" w:type="paragraph">
    <w:name w:val="Title"/>
    <w:next w:val="Style_5"/>
    <w:link w:val="Style_26_ch"/>
    <w:uiPriority w:val="10"/>
    <w:qFormat/>
    <w:rPr>
      <w:rFonts w:ascii="XO Thames" w:hAnsi="XO Thames"/>
      <w:b w:val="1"/>
      <w:sz w:val="52"/>
    </w:rPr>
  </w:style>
  <w:style w:styleId="Style_26_ch" w:type="character">
    <w:name w:val="Title"/>
    <w:link w:val="Style_26"/>
    <w:rPr>
      <w:rFonts w:ascii="XO Thames" w:hAnsi="XO Thames"/>
      <w:b w:val="1"/>
      <w:sz w:val="52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7_ch" w:type="character">
    <w:name w:val="heading 4"/>
    <w:link w:val="Style_27"/>
    <w:rPr>
      <w:rFonts w:ascii="XO Thames" w:hAnsi="XO Thames"/>
      <w:b w:val="1"/>
      <w:color w:val="595959"/>
      <w:sz w:val="26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8_ch" w:type="character">
    <w:name w:val="heading 2"/>
    <w:link w:val="Style_28"/>
    <w:rPr>
      <w:rFonts w:ascii="XO Thames" w:hAnsi="XO Thames"/>
      <w:b w:val="1"/>
      <w:color w:val="00A0FF"/>
      <w:sz w:val="26"/>
    </w:rPr>
  </w:style>
  <w:style w:styleId="Style_2" w:type="paragraph">
    <w:name w:val="header"/>
    <w:basedOn w:val="Style_5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header"/>
    <w:basedOn w:val="Style_5_ch"/>
    <w:link w:val="Style_2"/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9" Target="theme/theme1.xml" Type="http://schemas.openxmlformats.org/officeDocument/2006/relationships/theme"/>
  <Relationship Id="rId5" Target="settings.xml" Type="http://schemas.openxmlformats.org/officeDocument/2006/relationships/settings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3" Target="media/1.png" Type="http://schemas.openxmlformats.org/officeDocument/2006/relationships/image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2026-02-13T11:13:12Z</dcterms:modified>
</cp:coreProperties>
</file>